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1F6D0" w14:textId="1D78D8D7" w:rsidR="00EB5F70" w:rsidRPr="00B41F17" w:rsidRDefault="00EB5F70" w:rsidP="00B41F17">
      <w:pPr>
        <w:spacing w:line="360" w:lineRule="auto"/>
        <w:jc w:val="center"/>
        <w:rPr>
          <w:rFonts w:ascii="Times New Roman" w:hAnsi="Times New Roman"/>
          <w:sz w:val="20"/>
        </w:rPr>
      </w:pPr>
      <w:r w:rsidRPr="00B41F17">
        <w:rPr>
          <w:rFonts w:ascii="Times New Roman" w:hAnsi="Times New Roman"/>
          <w:b/>
          <w:sz w:val="24"/>
        </w:rPr>
        <w:t>Technological Innovations Shaping Insurance Law and Products</w:t>
      </w:r>
    </w:p>
    <w:p w14:paraId="5D8656E3" w14:textId="3A160268" w:rsidR="00EB5F70" w:rsidRPr="00B41F17" w:rsidRDefault="00EB5F70" w:rsidP="00B41F17">
      <w:pPr>
        <w:spacing w:line="360" w:lineRule="auto"/>
        <w:jc w:val="center"/>
        <w:rPr>
          <w:rFonts w:ascii="Times New Roman" w:hAnsi="Times New Roman"/>
          <w:sz w:val="20"/>
        </w:rPr>
      </w:pPr>
      <w:r w:rsidRPr="00B41F17">
        <w:rPr>
          <w:rFonts w:ascii="Times New Roman" w:hAnsi="Times New Roman"/>
          <w:sz w:val="20"/>
        </w:rPr>
        <w:t>J. Tarr, A.A. Tarr</w:t>
      </w:r>
      <w:r>
        <w:rPr>
          <w:rFonts w:ascii="Times New Roman" w:hAnsi="Times New Roman" w:cs="Times New Roman"/>
          <w:sz w:val="20"/>
          <w:szCs w:val="20"/>
        </w:rPr>
        <w:t>*</w:t>
      </w:r>
    </w:p>
    <w:p w14:paraId="05C02DB1" w14:textId="77777777" w:rsidR="00EB5F70" w:rsidRPr="00B41F17" w:rsidRDefault="00EB5F70" w:rsidP="00B41F17">
      <w:pPr>
        <w:spacing w:line="360" w:lineRule="auto"/>
        <w:jc w:val="both"/>
        <w:rPr>
          <w:rFonts w:ascii="Times New Roman" w:hAnsi="Times New Roman"/>
          <w:sz w:val="20"/>
        </w:rPr>
      </w:pPr>
    </w:p>
    <w:p w14:paraId="027D682B" w14:textId="77777777" w:rsidR="00EB5F70" w:rsidRPr="00B41F17" w:rsidRDefault="00EB5F70" w:rsidP="00B41F17">
      <w:pPr>
        <w:spacing w:line="360" w:lineRule="auto"/>
        <w:jc w:val="both"/>
        <w:rPr>
          <w:rFonts w:ascii="Times New Roman" w:hAnsi="Times New Roman"/>
          <w:b/>
          <w:sz w:val="20"/>
        </w:rPr>
      </w:pPr>
      <w:r w:rsidRPr="00B41F17">
        <w:rPr>
          <w:rFonts w:ascii="Times New Roman" w:hAnsi="Times New Roman"/>
          <w:b/>
          <w:sz w:val="20"/>
        </w:rPr>
        <w:t>Abstract</w:t>
      </w:r>
    </w:p>
    <w:p w14:paraId="2011F9FD" w14:textId="49EADBF2" w:rsidR="00EB5F70" w:rsidRPr="00B41F17" w:rsidRDefault="00EB5F70" w:rsidP="00B41F17">
      <w:pPr>
        <w:spacing w:line="360" w:lineRule="auto"/>
        <w:jc w:val="both"/>
        <w:rPr>
          <w:rFonts w:ascii="Times New Roman" w:hAnsi="Times New Roman"/>
          <w:sz w:val="20"/>
        </w:rPr>
      </w:pPr>
      <w:r w:rsidRPr="00B41F17">
        <w:rPr>
          <w:rFonts w:ascii="Times New Roman" w:hAnsi="Times New Roman"/>
          <w:sz w:val="20"/>
        </w:rPr>
        <w:t>The doctrine of utmost good faith and the correlative duty of disclosure have governed insurance contract law for centuries on the foundational premise that the insured possesses superior information about the risk being transferred and must volunteer it to the insurer. Artificial intelligence, big data analytics, real-time sensor data, digital twin technology, parametric structures and distributed ledger technology are, for the first time in the history of the industry, systematically inverting or neutralising that asymmetry. This article argues that the resulting shift is not merely a technological disruption to insurance products and processes but a potential watershed in the conceptual foundations of insurance law itself. The article traces the historical pattern by which common law principles, tort liability and insurance market practice have together filled the governance vacuum that has consistently preceded formal regulatory intervention across successive waves of technological change. It examines how the technologies now transforming the industry are reconfiguring the informational relationship between insurer and insured across five principal domains and considers whether that historical holding pattern remains adequate when the informational architecture it has always depended upon is itself being inverted. The analysis is conducted with English law as its primary frame of reference, drawing on Australian, European and comparative material where it assists.</w:t>
      </w:r>
    </w:p>
    <w:p w14:paraId="6CB01382" w14:textId="77777777" w:rsidR="00EB5F70" w:rsidRPr="00B41F17" w:rsidRDefault="00EB5F70" w:rsidP="00B41F17">
      <w:pPr>
        <w:spacing w:line="360" w:lineRule="auto"/>
        <w:jc w:val="both"/>
        <w:rPr>
          <w:rFonts w:ascii="Times New Roman" w:hAnsi="Times New Roman"/>
          <w:sz w:val="20"/>
        </w:rPr>
      </w:pPr>
    </w:p>
    <w:p w14:paraId="73F78CAB" w14:textId="77777777" w:rsidR="00EB5F70" w:rsidRPr="00B41F17" w:rsidRDefault="00EB5F70" w:rsidP="00B41F17">
      <w:pPr>
        <w:pStyle w:val="Heading1"/>
        <w:spacing w:line="360" w:lineRule="auto"/>
        <w:rPr>
          <w:rFonts w:ascii="Times New Roman" w:hAnsi="Times New Roman"/>
          <w:b/>
          <w:color w:val="auto"/>
          <w:sz w:val="20"/>
        </w:rPr>
      </w:pPr>
      <w:r w:rsidRPr="00B41F17">
        <w:rPr>
          <w:rFonts w:ascii="Times New Roman" w:hAnsi="Times New Roman"/>
          <w:b/>
          <w:color w:val="auto"/>
          <w:sz w:val="20"/>
        </w:rPr>
        <w:t>1. Introduction</w:t>
      </w:r>
    </w:p>
    <w:p w14:paraId="7ADC7893"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Lord Mansfield's observation in </w:t>
      </w:r>
      <w:r w:rsidRPr="00B41F17">
        <w:rPr>
          <w:rFonts w:ascii="Times New Roman" w:hAnsi="Times New Roman"/>
          <w:i/>
          <w:sz w:val="20"/>
        </w:rPr>
        <w:t>Carter v Boehm</w:t>
      </w:r>
      <w:r w:rsidRPr="00B41F17">
        <w:rPr>
          <w:rFonts w:ascii="Times New Roman" w:hAnsi="Times New Roman"/>
          <w:sz w:val="20"/>
        </w:rPr>
        <w:t xml:space="preserve"> (1766) that insurance is a contract "upon speculation" and that the special facts upon which the contingent chance is to be computed lie most commonly in the knowledge of the insured only gave the duty of pre-contractual disclosure its authoritative English expression.</w:t>
      </w:r>
      <w:r w:rsidRPr="00B41F17">
        <w:rPr>
          <w:rStyle w:val="FootnoteReference"/>
          <w:rFonts w:ascii="Times New Roman" w:hAnsi="Times New Roman"/>
          <w:sz w:val="20"/>
        </w:rPr>
        <w:footnoteReference w:id="1"/>
      </w:r>
      <w:r w:rsidRPr="00B41F17">
        <w:rPr>
          <w:rFonts w:ascii="Times New Roman" w:hAnsi="Times New Roman"/>
          <w:sz w:val="20"/>
        </w:rPr>
        <w:t xml:space="preserve"> The empirical premise was accurate: for several centuries the insured ordinarily knew more than the insurer about the condition of the vessel, the state of the warehouse, the health of the life insured, and the driving habits of the fleet. The legal principle was constructed upon, and calibrated to, that informational reality.</w:t>
      </w:r>
    </w:p>
    <w:p w14:paraId="770A945D"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That empirical foundation is now being significantly challenged. The combination of emergent technologies such as artificial intelligence, machine learning, big data analytics, the Internet of Things, real-time sensor technology, satellite imagery, distributed ledger technology and digital twin modelling is placing insurers in a position where they may know as much about the risk as the insured and, in many respects, considerably more. The telematics-equipped motor insurer, the digital twin-enabled property underwriter, and the parametric insurer whose trigger </w:t>
      </w:r>
      <w:r w:rsidRPr="00B41F17">
        <w:rPr>
          <w:rFonts w:ascii="Times New Roman" w:hAnsi="Times New Roman"/>
          <w:sz w:val="20"/>
        </w:rPr>
        <w:lastRenderedPageBreak/>
        <w:t>mechanism is calibrated by satellite and remote sensing technology each occupy an epistemic position fundamentally different from the underwriter of 1766 or, for that matter, of 1966.</w:t>
      </w:r>
    </w:p>
    <w:p w14:paraId="6BEAA274"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This article argues that the shift constitutes a watershed. It is not simply a modernisation of insurance products and practices but a reconfiguration of the legal principles that have governed the industry since its inception. The implications fall into three broad categories. First, the traditional rationale for imposing demanding pre-contractual disclosure duties upon the insured is weakened where the insurer can obtain or independently verify the relevant information. Second, the capacity of insurers to differentiate risk at an individual rather than pooled level creates new tensions with principles of fairness and non-discrimination that regulators are only beginning to confront. Third, the introduction of AI-driven systems into underwriting, pricing and claims assessment creates new liability exposures that existing coverage frameworks were not designed to address.</w:t>
      </w:r>
    </w:p>
    <w:p w14:paraId="4666BD0C" w14:textId="312BE10A"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Before examining those specific implications, the article situates the current moment within the longer pattern of technological disruption and regulatory response that has characterised the industry's history. That historical perspective matters because it reveals both the resilience of the adaptive mechanism and the structural conditions under which it ceases to be reliable.</w:t>
      </w:r>
    </w:p>
    <w:p w14:paraId="6E6F61DA" w14:textId="77777777" w:rsidR="00EB5F70" w:rsidRPr="00B41F17" w:rsidRDefault="00EB5F70" w:rsidP="00B41F17">
      <w:pPr>
        <w:pStyle w:val="Heading1"/>
        <w:spacing w:line="360" w:lineRule="auto"/>
        <w:rPr>
          <w:rFonts w:ascii="Times New Roman" w:hAnsi="Times New Roman"/>
          <w:b/>
          <w:color w:val="auto"/>
          <w:sz w:val="20"/>
        </w:rPr>
      </w:pPr>
      <w:r w:rsidRPr="00B41F17">
        <w:rPr>
          <w:rFonts w:ascii="Times New Roman" w:hAnsi="Times New Roman"/>
          <w:b/>
          <w:color w:val="auto"/>
          <w:sz w:val="20"/>
        </w:rPr>
        <w:t>2. The Historical Governance Pattern</w:t>
      </w:r>
    </w:p>
    <w:p w14:paraId="4209E8FF"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t>2.1 Private Ordering Ahead of Formal Regulation</w:t>
      </w:r>
    </w:p>
    <w:p w14:paraId="113C61C5"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Insurance has, from its origins, functioned as a mechanism of private governance ahead of formal legal frameworks rather than beneath them. The arrangements that crystallised at Lloyd's coffee house in the late seventeenth century generated underwriting standards, survey requirements and operational constraints upon maritime commerce long before any statutory framework addressed those questions in corresponding terms. The Marine Insurance Act 1906 is, in material part, a codification of practices and principles that the market had developed and the courts had recognised over two centuries of prior adjudication. The statute followed the governance; it did not create it.</w:t>
      </w:r>
      <w:r w:rsidRPr="00B41F17">
        <w:rPr>
          <w:rStyle w:val="FootnoteReference"/>
          <w:rFonts w:ascii="Times New Roman" w:hAnsi="Times New Roman"/>
          <w:sz w:val="20"/>
        </w:rPr>
        <w:footnoteReference w:id="2"/>
      </w:r>
    </w:p>
    <w:p w14:paraId="547F81F4"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The establishment of fire insurance offices following the Great Fire of London in 1666 provides an earlier and, in some respects, more instructive illustration. The early fire offices maintained brigades primarily for the protection of insured properties, issued fire marks to identify insured buildings, and organised their underwriting operations around the practical management of risk rather than the transfer of loss alone. More broadly, the conditions attached to early fire coverage — embracing survey requirements, construction considerations and occupancy characteristics — shaped building practice and property development not through the coercive authority of public law but through the conditional availability of private insurance. What these arrangements illustrate, in embryonic form, are the two governance modes that have characterised insurance markets throughout their development: governance by conditionality, in which insurers shaped behaviour by making coverage contingent on risk-reducing measures; and governance by absence, in which the withdrawal or unavailability of coverage constrained entire </w:t>
      </w:r>
      <w:r w:rsidRPr="00B41F17">
        <w:rPr>
          <w:rFonts w:ascii="Times New Roman" w:hAnsi="Times New Roman"/>
          <w:sz w:val="20"/>
        </w:rPr>
        <w:lastRenderedPageBreak/>
        <w:t>categories of activity.³ Both were operative from the industry's earliest period, and neither required statutory authority to function.</w:t>
      </w:r>
    </w:p>
    <w:p w14:paraId="3AA9611B"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Private fire brigades were maintained primarily by insurers for protection of insured properties, standardly prioritising fires at these premises over others.</w:t>
      </w:r>
      <w:r w:rsidRPr="00B41F17">
        <w:rPr>
          <w:rStyle w:val="FootnoteReference"/>
          <w:rFonts w:ascii="Times New Roman" w:hAnsi="Times New Roman"/>
          <w:sz w:val="20"/>
        </w:rPr>
        <w:footnoteReference w:id="3"/>
      </w:r>
      <w:r w:rsidRPr="00B41F17">
        <w:rPr>
          <w:rFonts w:ascii="Times New Roman" w:hAnsi="Times New Roman"/>
          <w:sz w:val="20"/>
        </w:rPr>
        <w:t xml:space="preserve"> Survey requirements, construction standards and occupancy conditions attached to fire coverage shaped building practice and property development not through the coercive authority of public law but through the conditional availability of private insurance. Governance by conditionality, in which insurers shaped behaviour by making coverage contingent on risk-reducing measures, and governance by absence, in which the withdrawal or unavailability of coverage constrained entire categories of activity, were both operative from the industry's earliest period.</w:t>
      </w:r>
    </w:p>
    <w:p w14:paraId="0EFF1F21"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same pattern repeated with each subsequent wave of technological disruption. When aviation emerged in the early twentieth century, insurers and the common law courts reached for marine and railway analogies in the absence of any aviation-specific legislative framework. The first aviation insurance policies were written by Lloyd's syndicates drawing upon marine underwriting expertise and adapting hull and liability principles to an entirely new operational context.</w:t>
      </w:r>
      <w:r w:rsidRPr="00B41F17">
        <w:rPr>
          <w:rStyle w:val="FootnoteReference"/>
          <w:rFonts w:ascii="Times New Roman" w:hAnsi="Times New Roman"/>
          <w:sz w:val="20"/>
        </w:rPr>
        <w:footnoteReference w:id="4"/>
      </w:r>
      <w:r w:rsidRPr="00B41F17">
        <w:rPr>
          <w:rFonts w:ascii="Times New Roman" w:hAnsi="Times New Roman"/>
          <w:sz w:val="20"/>
        </w:rPr>
        <w:t xml:space="preserve"> When automotive liability became a significant issue, the governance vacuum was filled initially by the common law of negligence and by voluntary insurance market practice. Compulsory third-party motor insurance in England, introduced by the Road Traffic Act 1930, followed the development of a functioning voluntary market rather than creating one.</w:t>
      </w:r>
    </w:p>
    <w:p w14:paraId="6C59F20D"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pattern has been most visible in recent decades in the context of cyber risk and drone operations. No regulatory framework for cyber insurance existed when the first cyber policies were written in the mid-1990s. The market developed through private ordering, with insurers setting security requirements and claims practices that effectively constituted the operational standards for digital risk management in the absence of statutory equivalents.</w:t>
      </w:r>
      <w:r w:rsidRPr="00B41F17">
        <w:rPr>
          <w:rStyle w:val="FootnoteReference"/>
          <w:rFonts w:ascii="Times New Roman" w:hAnsi="Times New Roman"/>
          <w:sz w:val="20"/>
        </w:rPr>
        <w:footnoteReference w:id="5"/>
      </w:r>
      <w:r w:rsidRPr="00B41F17">
        <w:rPr>
          <w:rFonts w:ascii="Times New Roman" w:hAnsi="Times New Roman"/>
          <w:sz w:val="20"/>
        </w:rPr>
        <w:t xml:space="preserve"> Coverage conditionality, not legislation, drove the adoption of enterprise security protocols across significant sectors of commercial activity for more than a decade before regulators began to address cyber risk systematically. In the drone sector, the absence of consistent regulatory frameworks across jurisdictions left insurers as the primary mechanism through which operational standards were imposed on commercial operators, with coverage availability and premium levels functioning as the effective licensing regime for many categories of drone use ahead of formal authorisation requirements.</w:t>
      </w:r>
      <w:r w:rsidRPr="00B41F17">
        <w:rPr>
          <w:rStyle w:val="FootnoteReference"/>
          <w:rFonts w:ascii="Times New Roman" w:hAnsi="Times New Roman"/>
          <w:sz w:val="20"/>
        </w:rPr>
        <w:footnoteReference w:id="6"/>
      </w:r>
    </w:p>
    <w:p w14:paraId="51A7DE59"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lastRenderedPageBreak/>
        <w:t>2.2 The Common Law as Adaptive Infrastructure</w:t>
      </w:r>
    </w:p>
    <w:p w14:paraId="3009DF77"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Running alongside and reinforcing the governance function of the insurance market, the common law has provided the analogical bridge between established legal principle and novel technological contexts. The development of product liability doctrine illustrates both the reactive and adaptive characteristics of this mechanism. The rule in Donoghue v Stevenson,</w:t>
      </w:r>
      <w:r w:rsidRPr="00B41F17">
        <w:rPr>
          <w:rStyle w:val="FootnoteReference"/>
          <w:rFonts w:ascii="Times New Roman" w:hAnsi="Times New Roman"/>
          <w:sz w:val="20"/>
        </w:rPr>
        <w:footnoteReference w:id="7"/>
      </w:r>
      <w:r w:rsidRPr="00B41F17">
        <w:rPr>
          <w:rFonts w:ascii="Times New Roman" w:hAnsi="Times New Roman"/>
          <w:sz w:val="20"/>
        </w:rPr>
        <w:t xml:space="preserve"> decided in 1932, extended the duty of care from direct contractual relationships to the broader class of persons foreseeably affected by negligent manufacture, without waiting for Parliament to address the liability of manufacturers to ultimate consumers. The Consumer Protection Act 1987, implementing the EC Product Liability Directive, followed decades of common law development rather than supplanting a vacuum.</w:t>
      </w:r>
    </w:p>
    <w:p w14:paraId="05CE97A0"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In the insurance context specifically, common law courts have adapted existing principles to new risk categories. The application of marine insurance principles to aviation, the extension of public liability coverage concepts to cyber incidents, and the developing law on autonomous vehicle liability under the Automated and Electric Vehicles Act 2018 and the Automated Vehicles Act 2024 all reflect the same mechanism: statutory frameworks arrive late, and the intervening period is governed by a combination of common law analogy, insurance market practice, and the behavioural effects of coverage availability and pricing. Regulators have frequently sheltered behind the objective of not stifling innovation as a rationale for delayed intervention, a position defensible precisely because the private ordering mechanism has historically provided a functioning, if imperfect, alternative infrastructure.</w:t>
      </w:r>
    </w:p>
    <w:p w14:paraId="619B7BDC"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employers' liability context provides a more qualified illustration. The Employers' Liability Act 1880 and the Workmen's Compensation Act 1897 created the legislative framework within which an employer liability insurance market subsequently matured. Here statute preceded a developed insurance market rather than following it</w:t>
      </w:r>
      <w:r w:rsidRPr="00B41F17">
        <w:rPr>
          <w:rStyle w:val="FootnoteReference"/>
          <w:rFonts w:ascii="Times New Roman" w:hAnsi="Times New Roman"/>
          <w:sz w:val="20"/>
        </w:rPr>
        <w:footnoteReference w:id="8"/>
      </w:r>
      <w:r w:rsidRPr="00B41F17">
        <w:rPr>
          <w:rFonts w:ascii="Times New Roman" w:hAnsi="Times New Roman"/>
          <w:sz w:val="20"/>
        </w:rPr>
        <w:t>. What the historical record demonstrates more precisely is that common law principles, insurance market practice and legislative intervention together constitute the adaptive system, with their relative contributions varying according to the nature of the technology and the pace of the harm it generates. Rapidly accumulating visible individual losses from industrial machinery generated legislative action within decades. The diffuse, probabilistic and often invisible risks associated with digital technologies have permitted a longer period of market-led private ordering before formal regulation arrives.</w:t>
      </w:r>
    </w:p>
    <w:p w14:paraId="24EBA39B"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t>2.3 Three Variants of Governance and the Present Structural Constraint</w:t>
      </w:r>
    </w:p>
    <w:p w14:paraId="7EF02E5F"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preceding analysis identifies two variants of insurance market governance: governance by conditionality, in which insurers manage behaviour by making coverage contingent on risk-reduction measures; and governance by absence, in which the unavailability of coverage constrains entire categories of activity, functioning as an accidental but effective regulatory signal. Both variants have operated throughout the industry's history and have provided the holding function that precedes formal statutory frameworks.</w:t>
      </w:r>
    </w:p>
    <w:p w14:paraId="5F2FF423"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lastRenderedPageBreak/>
        <w:t>A third variant, identified here as governance by foreclosure, occurs where an active statutory framework prevents the insurance market from performing either of those functions. In this variant, regulators do not simply arrive late: they impose constraints that prevent insurers from pricing risk accurately, making coverage on appropriate terms, or withdrawing from risks they cannot adequately model. The result is not the temporary governance vacuum that private ordering historically fills but a structural incapacity that the market cannot remedy from within. Governance by foreclosure is qualitatively different from regulatory absence; its consequences are more severe; and it is not resolved by the eventual arrival of formal regulation in the ordinary sense.</w:t>
      </w:r>
    </w:p>
    <w:p w14:paraId="5173D538" w14:textId="796711CA"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Both the common law adaptive mechanism and the governance function of insurance market practice have operated on a stable foundational premise across all three variants: the basic informational architecture of the insurance relationship, in which the insured holds superior knowledge of the risk and the insurer prices and conditions </w:t>
      </w:r>
      <w:proofErr w:type="gramStart"/>
      <w:r w:rsidRPr="00B41F17">
        <w:rPr>
          <w:rFonts w:ascii="Times New Roman" w:hAnsi="Times New Roman"/>
          <w:sz w:val="20"/>
        </w:rPr>
        <w:t>coverage</w:t>
      </w:r>
      <w:proofErr w:type="gramEnd"/>
      <w:r w:rsidRPr="00B41F17">
        <w:rPr>
          <w:rFonts w:ascii="Times New Roman" w:hAnsi="Times New Roman"/>
          <w:sz w:val="20"/>
        </w:rPr>
        <w:t xml:space="preserve"> accordingly, has remained constant across successive technological disruptions. </w:t>
      </w:r>
      <w:r w:rsidRPr="00EB5F70">
        <w:rPr>
          <w:rFonts w:ascii="Times New Roman" w:hAnsi="Times New Roman" w:cs="Times New Roman"/>
          <w:sz w:val="20"/>
          <w:szCs w:val="20"/>
        </w:rPr>
        <w:t>Courts</w:t>
      </w:r>
      <w:r w:rsidR="00EC602C">
        <w:rPr>
          <w:rFonts w:ascii="Times New Roman" w:hAnsi="Times New Roman" w:cs="Times New Roman"/>
          <w:sz w:val="20"/>
          <w:szCs w:val="20"/>
        </w:rPr>
        <w:t>’</w:t>
      </w:r>
      <w:r w:rsidRPr="00B41F17">
        <w:rPr>
          <w:rFonts w:ascii="Times New Roman" w:hAnsi="Times New Roman"/>
          <w:sz w:val="20"/>
        </w:rPr>
        <w:t xml:space="preserve"> reasoning by analogy from marine to aviation insurance were working with the same underlying contractual structure. The technologies now transforming the industry are disrupting that framework rather than simply extending it. The analogy from traditional property insurance to digital twin-based underwriting requires reasoning across a structural discontinuity for which existing doctrine offers no direct guide. The governance-by-foreclosure variant examined in Section 5.3 below illustrates with particular clarity what occurs when this constraint operates in a rapidly changing risk environment.</w:t>
      </w:r>
    </w:p>
    <w:p w14:paraId="63C7B8CE" w14:textId="77777777" w:rsidR="00EB5F70" w:rsidRPr="00B41F17" w:rsidRDefault="00EB5F70" w:rsidP="00B41F17">
      <w:pPr>
        <w:pStyle w:val="Heading1"/>
        <w:spacing w:line="360" w:lineRule="auto"/>
        <w:rPr>
          <w:rFonts w:ascii="Times New Roman" w:hAnsi="Times New Roman"/>
          <w:b/>
          <w:color w:val="auto"/>
          <w:sz w:val="20"/>
        </w:rPr>
      </w:pPr>
      <w:r w:rsidRPr="00B41F17">
        <w:rPr>
          <w:rFonts w:ascii="Times New Roman" w:hAnsi="Times New Roman"/>
          <w:b/>
          <w:color w:val="auto"/>
          <w:sz w:val="20"/>
        </w:rPr>
        <w:t>3. The Architecture of Disclosure and Its Current Pressure</w:t>
      </w:r>
    </w:p>
    <w:p w14:paraId="0009B385"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color w:val="auto"/>
          <w:sz w:val="20"/>
        </w:rPr>
        <w:t xml:space="preserve">3.1 </w:t>
      </w:r>
      <w:r w:rsidRPr="00B41F17">
        <w:rPr>
          <w:rFonts w:ascii="Times New Roman" w:hAnsi="Times New Roman"/>
          <w:b/>
          <w:i/>
          <w:color w:val="auto"/>
          <w:sz w:val="20"/>
        </w:rPr>
        <w:t>The Doctrinal Foundation</w:t>
      </w:r>
    </w:p>
    <w:p w14:paraId="0F38B263" w14:textId="02227390"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The duty of utmost good faith was codified in section </w:t>
      </w:r>
      <w:r w:rsidRPr="00EB5F70">
        <w:rPr>
          <w:rFonts w:ascii="Times New Roman" w:hAnsi="Times New Roman" w:cs="Times New Roman"/>
          <w:sz w:val="20"/>
          <w:szCs w:val="20"/>
        </w:rPr>
        <w:t>1</w:t>
      </w:r>
      <w:r w:rsidR="00513221">
        <w:rPr>
          <w:rFonts w:ascii="Times New Roman" w:hAnsi="Times New Roman" w:cs="Times New Roman"/>
          <w:sz w:val="20"/>
          <w:szCs w:val="20"/>
        </w:rPr>
        <w:t>7</w:t>
      </w:r>
      <w:r w:rsidRPr="00B41F17">
        <w:rPr>
          <w:rFonts w:ascii="Times New Roman" w:hAnsi="Times New Roman"/>
          <w:sz w:val="20"/>
        </w:rPr>
        <w:t xml:space="preserve"> of the Marine Insurance Act </w:t>
      </w:r>
      <w:proofErr w:type="gramStart"/>
      <w:r w:rsidRPr="00B41F17">
        <w:rPr>
          <w:rFonts w:ascii="Times New Roman" w:hAnsi="Times New Roman"/>
          <w:sz w:val="20"/>
        </w:rPr>
        <w:t>1906</w:t>
      </w:r>
      <w:r w:rsidR="00513221">
        <w:rPr>
          <w:rFonts w:ascii="Times New Roman" w:hAnsi="Times New Roman" w:cs="Times New Roman"/>
          <w:sz w:val="20"/>
          <w:szCs w:val="20"/>
        </w:rPr>
        <w:t>, and</w:t>
      </w:r>
      <w:proofErr w:type="gramEnd"/>
      <w:r w:rsidR="00513221">
        <w:rPr>
          <w:rFonts w:ascii="Times New Roman" w:hAnsi="Times New Roman" w:cs="Times New Roman"/>
          <w:sz w:val="20"/>
          <w:szCs w:val="20"/>
        </w:rPr>
        <w:t xml:space="preserve"> </w:t>
      </w:r>
      <w:r w:rsidR="005F5DAF">
        <w:rPr>
          <w:rFonts w:ascii="Times New Roman" w:hAnsi="Times New Roman" w:cs="Times New Roman"/>
          <w:sz w:val="20"/>
          <w:szCs w:val="20"/>
        </w:rPr>
        <w:t>fleshed out in section 18</w:t>
      </w:r>
      <w:r w:rsidRPr="00B41F17">
        <w:rPr>
          <w:rFonts w:ascii="Times New Roman" w:hAnsi="Times New Roman"/>
          <w:sz w:val="20"/>
        </w:rPr>
        <w:t xml:space="preserve"> in terms requiring disclosure of every material circumstance known or deemed known by the insured, with avoidance as the insurer's remedy for breach. The same principle was applied by analogy to non-marine contracts, creating a regime characterised by considerable severity in its application to consumers.</w:t>
      </w:r>
      <w:r w:rsidRPr="00B41F17">
        <w:rPr>
          <w:rStyle w:val="FootnoteReference"/>
          <w:rFonts w:ascii="Times New Roman" w:hAnsi="Times New Roman"/>
          <w:sz w:val="20"/>
        </w:rPr>
        <w:footnoteReference w:id="9"/>
      </w:r>
    </w:p>
    <w:p w14:paraId="0D2034DE"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Law Commissions of England and Wales and Scotland, in their joint insurance law reform programme commenced in 2006, identified the consumer application of these rules as their primary concern. The Consumer Insurance (Disclosure and Representations) Act 2012 replaced the consumer insured's duty of disclosure with a duty to take reasonable care not to make a misrepresentation, a standard that places the burden upon the insurer to ask appropriate questions.</w:t>
      </w:r>
      <w:r w:rsidRPr="00B41F17">
        <w:rPr>
          <w:rStyle w:val="FootnoteReference"/>
          <w:rFonts w:ascii="Times New Roman" w:hAnsi="Times New Roman"/>
          <w:sz w:val="20"/>
        </w:rPr>
        <w:footnoteReference w:id="10"/>
      </w:r>
      <w:r w:rsidRPr="00B41F17">
        <w:rPr>
          <w:rFonts w:ascii="Times New Roman" w:hAnsi="Times New Roman"/>
          <w:sz w:val="20"/>
        </w:rPr>
        <w:t xml:space="preserve"> The Insurance Act 2015 extended analogous reforms to the business insurance market, introducing the concept of a fair presentation of the risk and replacing avoidance as the automatic remedy for breach with a proportionate remedy framework.</w:t>
      </w:r>
      <w:r w:rsidRPr="00B41F17">
        <w:rPr>
          <w:rStyle w:val="FootnoteReference"/>
          <w:rFonts w:ascii="Times New Roman" w:hAnsi="Times New Roman"/>
          <w:sz w:val="20"/>
        </w:rPr>
        <w:footnoteReference w:id="11"/>
      </w:r>
      <w:r w:rsidRPr="00B41F17">
        <w:rPr>
          <w:rFonts w:ascii="Times New Roman" w:hAnsi="Times New Roman"/>
          <w:sz w:val="20"/>
        </w:rPr>
        <w:t xml:space="preserve"> In Australia, the Royal Commission into Misconduct in the Banking, Superannuation and Financial Services Industry similarly recommended reform of consumer insurance disclosure requirements, enacted through the Financial Sector Reform (Hayne Royal Commission Response) Act </w:t>
      </w:r>
      <w:r w:rsidRPr="00B41F17">
        <w:rPr>
          <w:rFonts w:ascii="Times New Roman" w:hAnsi="Times New Roman"/>
          <w:sz w:val="20"/>
        </w:rPr>
        <w:lastRenderedPageBreak/>
        <w:t>2020. This Act replaces the existing duty of disclosure with a new duty for consumers to take reasonable care not to make a misrepresentation to the insurer before they enter into the insurance contract</w:t>
      </w:r>
      <w:r w:rsidRPr="00B41F17">
        <w:rPr>
          <w:rFonts w:ascii="Times New Roman" w:hAnsi="Times New Roman"/>
          <w:sz w:val="20"/>
          <w:vertAlign w:val="superscript"/>
        </w:rPr>
        <w:footnoteReference w:id="12"/>
      </w:r>
      <w:r w:rsidRPr="00B41F17">
        <w:rPr>
          <w:rFonts w:ascii="Times New Roman" w:hAnsi="Times New Roman"/>
          <w:sz w:val="20"/>
        </w:rPr>
        <w:t>. The new duty applies to consumer insurance contracts which are, broadly, general and life insurance contracts purchased for the insured's personal, domestic or household purposes. Similarly, the Contracts of Insurance Act 2024</w:t>
      </w:r>
      <w:r w:rsidRPr="00B41F17">
        <w:rPr>
          <w:rFonts w:ascii="Times New Roman" w:hAnsi="Times New Roman"/>
          <w:i/>
          <w:sz w:val="20"/>
        </w:rPr>
        <w:t xml:space="preserve"> (</w:t>
      </w:r>
      <w:r w:rsidRPr="00B41F17">
        <w:rPr>
          <w:rFonts w:ascii="Times New Roman" w:hAnsi="Times New Roman"/>
          <w:sz w:val="20"/>
        </w:rPr>
        <w:t>New Zealand) adopts the same diluted disclosure obligation to take reasonable care not to make a misrepresentation to the insurer at entry into, renewal, or variation of the policy</w:t>
      </w:r>
      <w:r w:rsidRPr="00B41F17">
        <w:rPr>
          <w:rFonts w:ascii="Times New Roman" w:hAnsi="Times New Roman"/>
          <w:sz w:val="20"/>
          <w:vertAlign w:val="superscript"/>
        </w:rPr>
        <w:footnoteReference w:id="13"/>
      </w:r>
      <w:r w:rsidRPr="00B41F17">
        <w:rPr>
          <w:rFonts w:ascii="Times New Roman" w:hAnsi="Times New Roman"/>
          <w:sz w:val="20"/>
        </w:rPr>
        <w:t>. As well as lowering the required standard, the Act effectively shifts the burden of ensuring adequate disclosure to insurers by requiring insureds only to answer questions asked of them</w:t>
      </w:r>
      <w:r w:rsidRPr="00B41F17">
        <w:rPr>
          <w:rFonts w:ascii="Times New Roman" w:hAnsi="Times New Roman"/>
          <w:sz w:val="20"/>
          <w:vertAlign w:val="superscript"/>
        </w:rPr>
        <w:footnoteReference w:id="14"/>
      </w:r>
      <w:r w:rsidRPr="00B41F17">
        <w:rPr>
          <w:rFonts w:ascii="Times New Roman" w:hAnsi="Times New Roman"/>
          <w:sz w:val="20"/>
        </w:rPr>
        <w:t>. </w:t>
      </w:r>
    </w:p>
    <w:p w14:paraId="2798F2EC"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These reforms in the UK, and largely replicated in Australia and New Zealand, were driven by concerns about harshness of application and consumer protection rather than by any fundamental challenge to the informational premise upon which the duty rests. Both the 2012 and 2015 Acts assume, as </w:t>
      </w:r>
      <w:r w:rsidRPr="00B41F17">
        <w:rPr>
          <w:rFonts w:ascii="Times New Roman" w:hAnsi="Times New Roman"/>
          <w:i/>
          <w:sz w:val="20"/>
        </w:rPr>
        <w:t>Carter v Boehm</w:t>
      </w:r>
      <w:r w:rsidRPr="00B41F17">
        <w:rPr>
          <w:rFonts w:ascii="Times New Roman" w:hAnsi="Times New Roman"/>
          <w:sz w:val="20"/>
        </w:rPr>
        <w:t xml:space="preserve"> assumed, that the insured is the primary source of information about the risk. They adjust the procedure by which that information is elicited and the consequences of its incomplete provision. They do not address the question that contemporary technology now poses: what happens to the law of pre-contractual disclosure when the insurer no longer needs the insured's voluntary disclosure because it has access to superior data by other means?</w:t>
      </w:r>
    </w:p>
    <w:p w14:paraId="31AC19F3"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two UK statutes also produced significant amendments to the Marine Insurance Act 1906, with consequential effects in those jurisdictions which modelled their domestic marine insurance legislation upon that Act</w:t>
      </w:r>
      <w:r w:rsidRPr="00B41F17">
        <w:rPr>
          <w:rStyle w:val="FootnoteReference"/>
          <w:rFonts w:ascii="Times New Roman" w:hAnsi="Times New Roman"/>
          <w:sz w:val="20"/>
        </w:rPr>
        <w:footnoteReference w:id="15"/>
      </w:r>
      <w:r w:rsidRPr="00B41F17">
        <w:rPr>
          <w:rFonts w:ascii="Times New Roman" w:hAnsi="Times New Roman"/>
          <w:sz w:val="20"/>
        </w:rPr>
        <w:t>. This international dimension of the reform process underscores the degree to which English insurance law continues to function as a reference point for global market practice, and correspondingly the global significance of any further reform driven by the current technological transformation.</w:t>
      </w:r>
      <w:r w:rsidRPr="00B41F17">
        <w:rPr>
          <w:rStyle w:val="FootnoteReference"/>
          <w:rFonts w:ascii="Times New Roman" w:hAnsi="Times New Roman"/>
          <w:sz w:val="20"/>
        </w:rPr>
        <w:footnoteReference w:id="16"/>
      </w:r>
    </w:p>
    <w:p w14:paraId="326C5B37"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t>3.2 The Emerging Reversal</w:t>
      </w:r>
    </w:p>
    <w:p w14:paraId="01F421F4"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Geneva Association has observed that better data makes it possible to better align premiums and risks and to reduce the overall cost of insurance, while acknowledging significant concerns regarding privacy, bias, fairness and discrimination.</w:t>
      </w:r>
      <w:r w:rsidRPr="00B41F17">
        <w:rPr>
          <w:rStyle w:val="FootnoteReference"/>
          <w:rFonts w:ascii="Times New Roman" w:hAnsi="Times New Roman"/>
          <w:sz w:val="20"/>
        </w:rPr>
        <w:footnoteReference w:id="17"/>
      </w:r>
      <w:r w:rsidRPr="00B41F17">
        <w:rPr>
          <w:rFonts w:ascii="Times New Roman" w:hAnsi="Times New Roman"/>
          <w:sz w:val="20"/>
        </w:rPr>
        <w:t xml:space="preserve"> The framing of data as a tool for reducing informational asymmetries in insurance markets </w:t>
      </w:r>
      <w:r w:rsidRPr="00B41F17">
        <w:rPr>
          <w:rFonts w:ascii="Times New Roman" w:hAnsi="Times New Roman"/>
          <w:sz w:val="20"/>
        </w:rPr>
        <w:lastRenderedPageBreak/>
        <w:t>concedes, in effect, that the traditional asymmetry is being eroded, though it treats this as a positive development in the service of efficiency rather than as a challenge to the legal architecture constructed upon it.</w:t>
      </w:r>
    </w:p>
    <w:p w14:paraId="0DC7405F"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challenge is more fundamental than that framing suggests. If an insurer, through telematics data, IoT sensors, satellite imagery, medical wearables and AI-processed datasets, can construct a more accurate picture of a risk than the insured can articulate, the informational premise of the disclosure duty is not merely weakened. It is potentially inverted. The insurer may know things about the risk that the insured does not. The insurer's analytical model may predict a health event that has not yet manifested in the insured's subjective awareness. The insurer's digital twin may identify structural vulnerabilities in an insured property that the policyholder has never noticed.</w:t>
      </w:r>
    </w:p>
    <w:p w14:paraId="1EFBC787" w14:textId="010874BB"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existing English law framework does not accommodate this inversion. The duty of fair presentation under the Insurance Act 2015 is unidirectional: the insured must make the fair presentation with the insurer's obligations bring limited to asking follow-up questions before relying on the insured's failure to volunteer information.</w:t>
      </w:r>
      <w:r w:rsidRPr="00B41F17">
        <w:rPr>
          <w:rStyle w:val="FootnoteReference"/>
          <w:rFonts w:ascii="Times New Roman" w:hAnsi="Times New Roman"/>
          <w:sz w:val="20"/>
        </w:rPr>
        <w:footnoteReference w:id="18"/>
      </w:r>
      <w:r w:rsidRPr="00B41F17">
        <w:rPr>
          <w:rFonts w:ascii="Times New Roman" w:hAnsi="Times New Roman"/>
          <w:sz w:val="20"/>
        </w:rPr>
        <w:t xml:space="preserve"> There is no general duty upon the insurer to share risk-relevant information it has independently obtained</w:t>
      </w:r>
      <w:r w:rsidR="00177FD6">
        <w:rPr>
          <w:rFonts w:ascii="Times New Roman" w:hAnsi="Times New Roman"/>
          <w:sz w:val="20"/>
        </w:rPr>
        <w:t xml:space="preserve"> although the actual, constructive and presumed knowledge of the insurer is relevant in that the insured is not required to give disclosure of circumstances within the insurer’s knowledge.</w:t>
      </w:r>
      <w:r w:rsidR="00177FD6">
        <w:rPr>
          <w:rStyle w:val="FootnoteReference"/>
          <w:rFonts w:ascii="Times New Roman" w:hAnsi="Times New Roman"/>
          <w:sz w:val="20"/>
        </w:rPr>
        <w:footnoteReference w:id="19"/>
      </w:r>
      <w:r w:rsidRPr="00B41F17">
        <w:rPr>
          <w:rFonts w:ascii="Times New Roman" w:hAnsi="Times New Roman"/>
          <w:sz w:val="20"/>
        </w:rPr>
        <w:t xml:space="preserve"> The doctrine of utmost good faith applies to both parties in principle, and courts have confirmed that an insurer who knows facts making a risk uninsurable must not conceal them from the insured,</w:t>
      </w:r>
      <w:r w:rsidRPr="00B41F17">
        <w:rPr>
          <w:rStyle w:val="FootnoteReference"/>
          <w:rFonts w:ascii="Times New Roman" w:hAnsi="Times New Roman"/>
          <w:sz w:val="20"/>
        </w:rPr>
        <w:footnoteReference w:id="20"/>
      </w:r>
      <w:r w:rsidRPr="00B41F17">
        <w:rPr>
          <w:rFonts w:ascii="Times New Roman" w:hAnsi="Times New Roman"/>
          <w:sz w:val="20"/>
        </w:rPr>
        <w:t xml:space="preserve"> but this is a narrow duty confined to extreme circumstances. As the informational architecture shifts, the case for a more substantive and reciprocal duty of transparency becomes correspondingly stronger, and the absence of such a duty in the current statutory framework an increasingly conspicuous omission.</w:t>
      </w:r>
    </w:p>
    <w:p w14:paraId="3C224775" w14:textId="77777777" w:rsidR="00EB5F70" w:rsidRPr="00B41F17" w:rsidRDefault="00EB5F70" w:rsidP="00B41F17">
      <w:pPr>
        <w:pStyle w:val="Heading1"/>
        <w:spacing w:line="360" w:lineRule="auto"/>
        <w:rPr>
          <w:rFonts w:ascii="Times New Roman" w:hAnsi="Times New Roman"/>
          <w:b/>
          <w:color w:val="auto"/>
          <w:sz w:val="20"/>
        </w:rPr>
      </w:pPr>
      <w:r w:rsidRPr="00B41F17">
        <w:rPr>
          <w:rFonts w:ascii="Times New Roman" w:hAnsi="Times New Roman"/>
          <w:b/>
          <w:color w:val="auto"/>
          <w:sz w:val="20"/>
        </w:rPr>
        <w:t>4. The New Insurance Marketplace</w:t>
      </w:r>
    </w:p>
    <w:p w14:paraId="0A1C1CF0"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t>4.1 On-Demand and Usage-Based Insurance</w:t>
      </w:r>
    </w:p>
    <w:p w14:paraId="738ED6F6"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On-demand insurance, in its most developed form, replaces the static annual risk snapshot with a continuous stream of behavioural and environmental data, generating a living risk assessment updated in real time. Usage-based insurance of the kind now deployed in the commercial motor sector displaces the traditional annual policy model entirely. Flock Cover's connected fleet insurance product illustrates the practical reality of this displacement: its risk intelligence engine combines telematics data with environmental variables to quantify risk on a per-second and per-metre basis, with its underwriting model continuously learning as more data is ingested.</w:t>
      </w:r>
      <w:r w:rsidRPr="00B41F17">
        <w:rPr>
          <w:rStyle w:val="FootnoteReference"/>
          <w:rFonts w:ascii="Times New Roman" w:hAnsi="Times New Roman"/>
          <w:sz w:val="20"/>
        </w:rPr>
        <w:footnoteReference w:id="21"/>
      </w:r>
      <w:r w:rsidRPr="00B41F17">
        <w:rPr>
          <w:rFonts w:ascii="Times New Roman" w:hAnsi="Times New Roman"/>
          <w:sz w:val="20"/>
        </w:rPr>
        <w:t xml:space="preserve"> </w:t>
      </w:r>
      <w:r w:rsidRPr="00B41F17">
        <w:rPr>
          <w:rFonts w:ascii="Times New Roman" w:hAnsi="Times New Roman"/>
          <w:sz w:val="20"/>
        </w:rPr>
        <w:lastRenderedPageBreak/>
        <w:t>The insurer's knowledge of the risk in this model is, in the ordinary case, superior to any subjective assessment the insured could provide.</w:t>
      </w:r>
    </w:p>
    <w:p w14:paraId="49D988E9"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legal implications follow directly from the historical analysis in Section 2. The traditional justification for the insured's continuing duty to notify material changes rests on the same informational premise as the pre-contractual disclosure duty: the insurer cannot know what has changed unless told. Where the insurer's own data stream continuously monitors the relevant variables, the rationale for imposing that duty on the insured is substantially diminished. There is a converse question, so far unaddressed by English law: where the insurer's system detects a materially increased risk but does not communicate that assessment to the insured, does the informational advantage give rise to any correlative notification obligation? The Insurance Act 2015 notification framework does not address this question.</w:t>
      </w:r>
      <w:r w:rsidRPr="00B41F17">
        <w:rPr>
          <w:rStyle w:val="FootnoteReference"/>
          <w:rFonts w:ascii="Times New Roman" w:hAnsi="Times New Roman"/>
          <w:sz w:val="20"/>
        </w:rPr>
        <w:footnoteReference w:id="22"/>
      </w:r>
      <w:r w:rsidRPr="00B41F17">
        <w:rPr>
          <w:rFonts w:ascii="Times New Roman" w:hAnsi="Times New Roman"/>
          <w:sz w:val="20"/>
        </w:rPr>
        <w:t xml:space="preserve"> </w:t>
      </w:r>
    </w:p>
    <w:p w14:paraId="39664210"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relationship between real-time data collection and the law of warranties raises a further issue. Under the Insurance Act 2015, a breach of warranty suspends rather than automatically discharges the insurer's liability.</w:t>
      </w:r>
      <w:r w:rsidRPr="00B41F17">
        <w:rPr>
          <w:rStyle w:val="FootnoteReference"/>
          <w:rFonts w:ascii="Times New Roman" w:hAnsi="Times New Roman"/>
          <w:sz w:val="20"/>
        </w:rPr>
        <w:footnoteReference w:id="23"/>
      </w:r>
      <w:r w:rsidRPr="00B41F17">
        <w:rPr>
          <w:rFonts w:ascii="Times New Roman" w:hAnsi="Times New Roman"/>
          <w:sz w:val="20"/>
        </w:rPr>
        <w:t xml:space="preserve"> In a telematics-based product, continuous monitoring creates the possibility of transient departures from compliant driving — a momentary speed exceedance, automatically recorded and remedied within seconds — that are preserved in the data record. Whether such transient departures constitute warranty breaches upon which an insurer could rely is a question the existing framework does not directly address.</w:t>
      </w:r>
    </w:p>
    <w:p w14:paraId="23013D7A"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scope for fraud is also substantially curtailed in a telematics-rich environment. Concerns that on-demand coverage can be activated fraudulently at the point of a contemplated claim have genuine force for lightly-monitored products.</w:t>
      </w:r>
      <w:r w:rsidRPr="00B41F17">
        <w:rPr>
          <w:rStyle w:val="FootnoteReference"/>
          <w:rFonts w:ascii="Times New Roman" w:hAnsi="Times New Roman"/>
          <w:sz w:val="20"/>
        </w:rPr>
        <w:footnoteReference w:id="24"/>
      </w:r>
      <w:r w:rsidRPr="00B41F17">
        <w:rPr>
          <w:rFonts w:ascii="Times New Roman" w:hAnsi="Times New Roman"/>
          <w:sz w:val="20"/>
        </w:rPr>
        <w:t xml:space="preserve"> For continuously-monitored fleet insurance, however, the fraudulent insured has little scope to embellish where the relevant data comes from sensors in the vehicle and the insured's own mobile device. The informational asymmetry that fraud exploits is being closed by the same technology that powers the product.</w:t>
      </w:r>
    </w:p>
    <w:p w14:paraId="01A026C0"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pricing implications are equally significant. Real-time adjustment of premiums in response to telematics data moves insurance pricing from a periodic actuarial exercise to a continuous algorithmic process. The FCA's Consumer Duty requirements of fair value and consumer understanding apply with particular force in this context, and regulators will need to consider whether real-time pricing algorithms meet those standards without adequate disclosure of the factors and weights that drive them.</w:t>
      </w:r>
      <w:r w:rsidRPr="00B41F17">
        <w:rPr>
          <w:rStyle w:val="FootnoteReference"/>
          <w:rFonts w:ascii="Times New Roman" w:hAnsi="Times New Roman"/>
          <w:sz w:val="20"/>
        </w:rPr>
        <w:footnoteReference w:id="25"/>
      </w:r>
    </w:p>
    <w:p w14:paraId="77FB346A"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lastRenderedPageBreak/>
        <w:t>4.2 Embedded Insurance</w:t>
      </w:r>
    </w:p>
    <w:p w14:paraId="7B16CE33" w14:textId="034F01D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Embedded insurance, insurance sold as an attachment to a primary product or service rather than as a standalone contract, represents a structural transformation of the distribution model with further implications for the informational relationship between insurer and insured. The predicted growth of the embedded insurance market is substantial: it is anticipated to reach three trillion US dollars in value by 2030.</w:t>
      </w:r>
      <w:r w:rsidRPr="00B41F17">
        <w:rPr>
          <w:rStyle w:val="FootnoteReference"/>
          <w:rFonts w:ascii="Times New Roman" w:hAnsi="Times New Roman"/>
          <w:sz w:val="20"/>
        </w:rPr>
        <w:footnoteReference w:id="26"/>
      </w:r>
      <w:r w:rsidRPr="00B41F17">
        <w:rPr>
          <w:rFonts w:ascii="Times New Roman" w:hAnsi="Times New Roman"/>
          <w:sz w:val="20"/>
        </w:rPr>
        <w:t xml:space="preserve"> Platforms such as Cover Genius operate through a single API </w:t>
      </w:r>
      <w:r w:rsidR="00177FD6">
        <w:rPr>
          <w:rStyle w:val="FootnoteReference"/>
          <w:rFonts w:ascii="Times New Roman" w:hAnsi="Times New Roman"/>
          <w:sz w:val="20"/>
        </w:rPr>
        <w:footnoteReference w:id="27"/>
      </w:r>
      <w:r w:rsidR="00B41F17">
        <w:rPr>
          <w:rFonts w:ascii="Times New Roman" w:hAnsi="Times New Roman"/>
          <w:sz w:val="20"/>
        </w:rPr>
        <w:t xml:space="preserve"> </w:t>
      </w:r>
      <w:r w:rsidRPr="00B41F17">
        <w:rPr>
          <w:rFonts w:ascii="Times New Roman" w:hAnsi="Times New Roman"/>
          <w:sz w:val="20"/>
        </w:rPr>
        <w:t>distributing any line of protection in almost any country and currency, serving embedded insurance across airlines, travel companies, retail platforms, financial services and the gig economy.</w:t>
      </w:r>
      <w:r w:rsidRPr="00B41F17">
        <w:rPr>
          <w:rStyle w:val="FootnoteReference"/>
          <w:rFonts w:ascii="Times New Roman" w:hAnsi="Times New Roman"/>
          <w:sz w:val="20"/>
        </w:rPr>
        <w:footnoteReference w:id="28"/>
      </w:r>
    </w:p>
    <w:p w14:paraId="34F18479"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legal challenges are primarily regulatory rather than doctrinal. Applicable licensing requirements vary by country and, within federal systems such as the United States and Australia, by state or territory. Depending on the structure of the arrangement, licensing obligations may attach not only to the insurer of the embedded product but also to the retailer of the primary good.</w:t>
      </w:r>
      <w:r w:rsidRPr="00B41F17">
        <w:rPr>
          <w:rStyle w:val="FootnoteReference"/>
          <w:rFonts w:ascii="Times New Roman" w:hAnsi="Times New Roman"/>
          <w:sz w:val="20"/>
        </w:rPr>
        <w:footnoteReference w:id="29"/>
      </w:r>
    </w:p>
    <w:p w14:paraId="3073D8DF"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Consumer protection concerns are particularly acute. The consumer purchasing embedded insurance during a digital checkout process has their attention focused on the primary transaction. The FCA's Product and Service Governance rules under the Consumer Duty require that products deliver fair value and meet the needs of the intended customer group.</w:t>
      </w:r>
      <w:r w:rsidRPr="00B41F17">
        <w:rPr>
          <w:rStyle w:val="FootnoteReference"/>
          <w:rFonts w:ascii="Times New Roman" w:hAnsi="Times New Roman"/>
          <w:sz w:val="20"/>
        </w:rPr>
        <w:footnoteReference w:id="30"/>
      </w:r>
      <w:r w:rsidRPr="00B41F17">
        <w:rPr>
          <w:rFonts w:ascii="Times New Roman" w:hAnsi="Times New Roman"/>
          <w:sz w:val="20"/>
        </w:rPr>
        <w:t xml:space="preserve"> The informational position is complex: the insurer acquires superior contextual knowledge about the risk through the primary transaction data, whilst the consumer is often purchasing without any advisory process and without comparing alternatives. The traditional asymmetry in which the insurer was uninformed about the risk is partially replaced by a different asymmetry in which the insured is uninformed about the coverage.</w:t>
      </w:r>
    </w:p>
    <w:p w14:paraId="67539E5A"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principle of free choice creates a further regulatory concern. Where the embedded structure effectively makes insurance a condition of the primary transaction, competition law concerns about tying arrangements are engaged.</w:t>
      </w:r>
      <w:r w:rsidRPr="00B41F17">
        <w:rPr>
          <w:rStyle w:val="FootnoteReference"/>
          <w:rFonts w:ascii="Times New Roman" w:hAnsi="Times New Roman"/>
          <w:sz w:val="20"/>
        </w:rPr>
        <w:footnoteReference w:id="31"/>
      </w:r>
      <w:r w:rsidRPr="00B41F17">
        <w:rPr>
          <w:rFonts w:ascii="Times New Roman" w:hAnsi="Times New Roman"/>
          <w:sz w:val="20"/>
        </w:rPr>
        <w:t xml:space="preserve"> The FCA's earlier market study on add-on insurance products identified the risk of consumers being </w:t>
      </w:r>
      <w:r w:rsidRPr="00B41F17">
        <w:rPr>
          <w:rFonts w:ascii="Times New Roman" w:hAnsi="Times New Roman"/>
          <w:sz w:val="20"/>
        </w:rPr>
        <w:lastRenderedPageBreak/>
        <w:t>systematically sold coverage that does not deliver fair value; the digital velocity of embedded distribution has materially increased the scale at which these concerns arise.</w:t>
      </w:r>
    </w:p>
    <w:p w14:paraId="0DEEDD82"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Intellectual property considerations are of practical significance in embedded insurance structures. The collaborative arrangements between insurer, retail partner and technology provider create genuine risks of inadvertent disclosure or appropriation of proprietary systems and algorithmic underwriting models. Clear contractual demarcation of background and foreground intellectual property is an essential structural requirement that existing commercial frameworks may not adequately address.</w:t>
      </w:r>
      <w:r w:rsidRPr="00B41F17">
        <w:rPr>
          <w:rStyle w:val="FootnoteReference"/>
          <w:rFonts w:ascii="Times New Roman" w:hAnsi="Times New Roman"/>
          <w:sz w:val="20"/>
        </w:rPr>
        <w:footnoteReference w:id="32"/>
      </w:r>
    </w:p>
    <w:p w14:paraId="1FB46C8A" w14:textId="77777777" w:rsidR="00EB5F70" w:rsidRPr="00B41F17" w:rsidRDefault="00EB5F70" w:rsidP="00B41F17">
      <w:pPr>
        <w:pStyle w:val="Heading1"/>
        <w:spacing w:line="360" w:lineRule="auto"/>
        <w:rPr>
          <w:rFonts w:ascii="Times New Roman" w:hAnsi="Times New Roman"/>
          <w:b/>
          <w:color w:val="auto"/>
          <w:sz w:val="20"/>
        </w:rPr>
      </w:pPr>
      <w:r w:rsidRPr="00B41F17">
        <w:rPr>
          <w:rFonts w:ascii="Times New Roman" w:hAnsi="Times New Roman"/>
          <w:b/>
          <w:color w:val="auto"/>
          <w:sz w:val="20"/>
        </w:rPr>
        <w:t>5. The Intelligence Revolution</w:t>
      </w:r>
    </w:p>
    <w:p w14:paraId="67B4B954"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t>5.1 Parametric Insurance</w:t>
      </w:r>
    </w:p>
    <w:p w14:paraId="1B36CB7F"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Parametric or index-based insurance represents the most radical departure from the traditional indemnity model in the current market. Whereas conventional property insurance promises to restore the insured to the position held prior to a loss, parametric insurance pays a pre-agreed sum upon the occurrence of a defined triggering event, an earthquake of specified magnitude, a cyclone exceeding a given wind speed, rainfall below an agreed threshold, without reference to actual loss incurred. The payout is triggered by objective data drawn from ground-based sensors, radar systems and satellite imagery rather than by any process of loss assessment.</w:t>
      </w:r>
    </w:p>
    <w:p w14:paraId="202983E8"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scale of the natural catastrophe protection gap gives urgency to this product class. In 2024, economic losses from natural catastrophes were USD 318 billion globally, of which 57 per cent were uninsured.</w:t>
      </w:r>
      <w:r w:rsidRPr="00B41F17">
        <w:rPr>
          <w:rStyle w:val="FootnoteReference"/>
          <w:rFonts w:ascii="Times New Roman" w:hAnsi="Times New Roman"/>
          <w:sz w:val="20"/>
        </w:rPr>
        <w:footnoteReference w:id="33"/>
      </w:r>
      <w:r w:rsidRPr="00B41F17">
        <w:rPr>
          <w:rFonts w:ascii="Times New Roman" w:hAnsi="Times New Roman"/>
          <w:sz w:val="20"/>
        </w:rPr>
        <w:t xml:space="preserve"> Insured losses from natural catastrophes have exceeded USD 100 billion for each of the six years between 2020 and 2025.</w:t>
      </w:r>
      <w:r w:rsidRPr="00B41F17">
        <w:rPr>
          <w:rStyle w:val="FootnoteReference"/>
          <w:rFonts w:ascii="Times New Roman" w:hAnsi="Times New Roman"/>
          <w:sz w:val="20"/>
        </w:rPr>
        <w:footnoteReference w:id="34"/>
      </w:r>
      <w:r w:rsidRPr="00B41F17">
        <w:rPr>
          <w:rFonts w:ascii="Times New Roman" w:hAnsi="Times New Roman"/>
          <w:sz w:val="20"/>
        </w:rPr>
        <w:t xml:space="preserve"> The fastest-growing loss category is secondary perils — severe convective storms, wildfires and inland floods — which recorded average annual frequency growth of 7.5 per cent over the preceding three decades.</w:t>
      </w:r>
      <w:r w:rsidRPr="00B41F17">
        <w:rPr>
          <w:rStyle w:val="FootnoteReference"/>
          <w:rFonts w:ascii="Times New Roman" w:hAnsi="Times New Roman"/>
          <w:sz w:val="20"/>
        </w:rPr>
        <w:footnoteReference w:id="35"/>
      </w:r>
      <w:r w:rsidRPr="00B41F17">
        <w:rPr>
          <w:rFonts w:ascii="Times New Roman" w:hAnsi="Times New Roman"/>
          <w:sz w:val="20"/>
        </w:rPr>
        <w:t xml:space="preserve"> It is precisely these secondary perils, characterised by high frequency, regional variation and rapid intensification under changing climatic conditions, that most severely test the assumptions underlying traditional actuarial pricing and that parametric structures are best placed to address. See further Arnold-Dwyer on the growing natural catastrophe protection gap and its legal implications for property insurance.</w:t>
      </w:r>
      <w:r w:rsidRPr="00B41F17">
        <w:rPr>
          <w:rStyle w:val="FootnoteReference"/>
          <w:rFonts w:ascii="Times New Roman" w:hAnsi="Times New Roman"/>
          <w:sz w:val="20"/>
        </w:rPr>
        <w:footnoteReference w:id="36"/>
      </w:r>
    </w:p>
    <w:p w14:paraId="73B61AAB"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lastRenderedPageBreak/>
        <w:t>For renewable energy infrastructure, where traditional insurers have responded to hail risk by imposing high deductibles and reduced limits following significant loss events, parametric solutions enabled by doppler radar, satellite imagery and on-site sensors can provide more accurately priced and more rapidly paid coverage.</w:t>
      </w:r>
      <w:r w:rsidRPr="00B41F17">
        <w:rPr>
          <w:rStyle w:val="FootnoteReference"/>
          <w:rFonts w:ascii="Times New Roman" w:hAnsi="Times New Roman"/>
          <w:sz w:val="20"/>
        </w:rPr>
        <w:footnoteReference w:id="37"/>
      </w:r>
      <w:r w:rsidRPr="00B41F17">
        <w:rPr>
          <w:rFonts w:ascii="Times New Roman" w:hAnsi="Times New Roman"/>
          <w:sz w:val="20"/>
        </w:rPr>
        <w:t xml:space="preserve"> Lawrence and the IDF's technology and protection gap analysis demonstrates that the combination of earth observation data, IoT connectivity and AI processing capacity constitutes the primary technological enabler for closing the natural catastrophe protection gap, with parametric structures as the primary delivery mechanism.</w:t>
      </w:r>
      <w:r w:rsidRPr="00B41F17">
        <w:rPr>
          <w:rStyle w:val="FootnoteReference"/>
          <w:rFonts w:ascii="Times New Roman" w:hAnsi="Times New Roman"/>
          <w:sz w:val="20"/>
        </w:rPr>
        <w:footnoteReference w:id="38"/>
      </w:r>
    </w:p>
    <w:p w14:paraId="71D8CD8E" w14:textId="175C9997" w:rsidR="00796C39" w:rsidRPr="00796C39" w:rsidRDefault="00EB5F70" w:rsidP="00796C39">
      <w:pPr>
        <w:spacing w:after="220" w:line="360" w:lineRule="auto"/>
        <w:jc w:val="both"/>
        <w:rPr>
          <w:rFonts w:ascii="Times New Roman" w:hAnsi="Times New Roman"/>
          <w:sz w:val="20"/>
          <w:lang w:val="en-AU"/>
        </w:rPr>
      </w:pPr>
      <w:r w:rsidRPr="00B41F17">
        <w:rPr>
          <w:rFonts w:ascii="Times New Roman" w:hAnsi="Times New Roman"/>
          <w:sz w:val="20"/>
        </w:rPr>
        <w:t>From the perspective of information asymmetry, the parametric model is significant in two respects. First, the trigger and payout mechanism is determined by objective, independently-verified data rather than by the insured's account of its losses. Second, the parametric model raises unresolved questions about legal classification. The requirement of insurable interest was fashioned to prevent speculation by ensuring the insured had a genuine economic interest in the subject matter of the insurance. Where payout is decoupled from actual loss, the traditional formulation of insurable interest sits awkwardly with a contract that will pay regardless of the size of the actual loss.</w:t>
      </w:r>
      <w:r w:rsidRPr="00B41F17">
        <w:rPr>
          <w:rStyle w:val="FootnoteReference"/>
          <w:rFonts w:ascii="Times New Roman" w:hAnsi="Times New Roman"/>
          <w:sz w:val="20"/>
        </w:rPr>
        <w:footnoteReference w:id="39"/>
      </w:r>
      <w:r w:rsidRPr="00B41F17">
        <w:rPr>
          <w:rFonts w:ascii="Times New Roman" w:hAnsi="Times New Roman"/>
          <w:sz w:val="20"/>
        </w:rPr>
        <w:t xml:space="preserve"> No significant body of case law has yet addressed the enforceability of parametric contracts under English law in disputed circumstances.</w:t>
      </w:r>
      <w:r w:rsidRPr="00B41F17">
        <w:rPr>
          <w:rStyle w:val="FootnoteReference"/>
          <w:rFonts w:ascii="Times New Roman" w:hAnsi="Times New Roman"/>
          <w:sz w:val="20"/>
        </w:rPr>
        <w:footnoteReference w:id="40"/>
      </w:r>
      <w:r w:rsidRPr="00B41F17">
        <w:rPr>
          <w:rFonts w:ascii="Times New Roman" w:hAnsi="Times New Roman"/>
          <w:sz w:val="20"/>
        </w:rPr>
        <w:t xml:space="preserve"> </w:t>
      </w:r>
      <w:r w:rsidR="00796C39" w:rsidRPr="00796C39">
        <w:rPr>
          <w:rFonts w:ascii="Times New Roman" w:hAnsi="Times New Roman"/>
          <w:sz w:val="20"/>
          <w:lang w:val="en-AU"/>
        </w:rPr>
        <w:t>The structural flexibility that enables a parametric product to be configured outside the definition of a contract of insurance carries a further regulatory consequence: an insurer issuing such a product may thereby contravene the prohibition on non-insurance business under PRA Rulebook, Conditions Governing Business, r 9.1. The classification question accordingly engages not only the private law rights of the contracting parties but the terms of the insurer's own authorisatio</w:t>
      </w:r>
      <w:r w:rsidR="00796C39">
        <w:rPr>
          <w:rFonts w:ascii="Times New Roman" w:hAnsi="Times New Roman"/>
          <w:sz w:val="20"/>
          <w:lang w:val="en-AU"/>
        </w:rPr>
        <w:t>n.</w:t>
      </w:r>
      <w:r w:rsidR="00796C39">
        <w:rPr>
          <w:rStyle w:val="FootnoteReference"/>
          <w:rFonts w:ascii="Times New Roman" w:hAnsi="Times New Roman"/>
          <w:sz w:val="20"/>
          <w:lang w:val="en-AU"/>
        </w:rPr>
        <w:footnoteReference w:id="41"/>
      </w:r>
    </w:p>
    <w:p w14:paraId="2552A8E3" w14:textId="77777777" w:rsidR="00796C39" w:rsidRPr="00796C39" w:rsidRDefault="00796C39" w:rsidP="00796C39">
      <w:pPr>
        <w:spacing w:after="220" w:line="360" w:lineRule="auto"/>
        <w:jc w:val="both"/>
        <w:rPr>
          <w:rFonts w:ascii="Times New Roman" w:hAnsi="Times New Roman"/>
          <w:sz w:val="20"/>
          <w:lang w:val="en-AU"/>
        </w:rPr>
      </w:pPr>
    </w:p>
    <w:p w14:paraId="2C2A0596" w14:textId="6F25E04F" w:rsidR="00EB5F70" w:rsidRPr="00B41F17" w:rsidRDefault="00EB5F70" w:rsidP="00B41F17">
      <w:pPr>
        <w:spacing w:after="220" w:line="360" w:lineRule="auto"/>
        <w:jc w:val="both"/>
        <w:rPr>
          <w:rFonts w:ascii="Times New Roman" w:hAnsi="Times New Roman"/>
          <w:sz w:val="20"/>
          <w:lang w:val="en-AU"/>
        </w:rPr>
      </w:pPr>
    </w:p>
    <w:p w14:paraId="632521E2"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A further challenge specific to parametric products is basis risk: the divergence between the parametric trigger and the actual loss experienced by the insured. A rainfall index that triggers at a defined millimetre threshold may generate a significant payout where the insured suffered little loss or may fail to trigger where the insured suffered substantial loss because local rainfall fell below the threshold. Basis risk is not a legal defect in the contract, which performs precisely as drafted, but it creates a consumer experience that may conflict with reasonable expectations of insurance protection. Designing parametric contracts to minimise basis risk through granular data sources, asset-specific modelling and hybrid structures is therefore both a commercial and a regulatory objective.</w:t>
      </w:r>
      <w:r w:rsidRPr="00B41F17">
        <w:rPr>
          <w:rStyle w:val="FootnoteReference"/>
          <w:rFonts w:ascii="Times New Roman" w:hAnsi="Times New Roman"/>
          <w:sz w:val="20"/>
        </w:rPr>
        <w:footnoteReference w:id="42"/>
      </w:r>
    </w:p>
    <w:p w14:paraId="2291C580" w14:textId="77777777" w:rsidR="00EB5F70" w:rsidRPr="00B41F17" w:rsidRDefault="00EB5F70" w:rsidP="00B41F17">
      <w:pPr>
        <w:spacing w:after="220" w:line="360" w:lineRule="auto"/>
        <w:jc w:val="both"/>
        <w:rPr>
          <w:rFonts w:ascii="Times New Roman" w:hAnsi="Times New Roman"/>
          <w:i/>
          <w:sz w:val="20"/>
        </w:rPr>
      </w:pPr>
      <w:r w:rsidRPr="00B41F17">
        <w:rPr>
          <w:rFonts w:ascii="Times New Roman" w:hAnsi="Times New Roman"/>
          <w:b/>
          <w:i/>
          <w:color w:val="000000"/>
          <w:sz w:val="20"/>
        </w:rPr>
        <w:t>5.2 Climate Change, Secondary Perils and the Limits of Retrospective Pricing</w:t>
      </w:r>
    </w:p>
    <w:p w14:paraId="4D5296A4"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natural catastrophe protection gap described above is not primarily a product of inadequate insurance market capacity. It is, to a significant degree, a product of pricing and regulatory frameworks constructed upon assumptions about risk frequency and severity that are being systematically undermined by climate change. Traditional actuarial pricing for natural catastrophe risk depends upon the stationarity assumption as to past loss experience constituting a reliable guide to future loss frequency and severity.</w:t>
      </w:r>
      <w:r w:rsidRPr="00B41F17">
        <w:rPr>
          <w:rStyle w:val="FootnoteReference"/>
          <w:rFonts w:ascii="Times New Roman" w:hAnsi="Times New Roman"/>
          <w:sz w:val="20"/>
        </w:rPr>
        <w:t xml:space="preserve"> </w:t>
      </w:r>
      <w:r w:rsidRPr="00B41F17">
        <w:rPr>
          <w:rStyle w:val="FootnoteReference"/>
          <w:rFonts w:ascii="Times New Roman" w:hAnsi="Times New Roman"/>
          <w:sz w:val="20"/>
        </w:rPr>
        <w:footnoteReference w:id="43"/>
      </w:r>
      <w:r w:rsidRPr="00B41F17">
        <w:rPr>
          <w:rFonts w:ascii="Times New Roman" w:hAnsi="Times New Roman"/>
          <w:sz w:val="20"/>
        </w:rPr>
        <w:t xml:space="preserve"> For a climatically stable environment, this assumption is defensible. For a warming climate characterised by rapidly shifting frequency distributions and severity trajectories for extreme weather events, the past becomes an increasingly unreliable guide to the future.</w:t>
      </w:r>
      <w:r w:rsidRPr="00B41F17">
        <w:rPr>
          <w:rStyle w:val="FootnoteReference"/>
          <w:rFonts w:ascii="Times New Roman" w:hAnsi="Times New Roman"/>
          <w:sz w:val="20"/>
        </w:rPr>
        <w:footnoteReference w:id="44"/>
      </w:r>
    </w:p>
    <w:p w14:paraId="7469F4EE"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Big data, satellite monitoring, real-time meteorological modelling and forward-looking catastrophe simulation offer an alternative. Rather than pricing from historical loss tables, catastrophe models integrate physical science data, asset exposure characteristics, vulnerability assessments and climate trajectory projections to estimate loss distributions for a current or projected risk environment. These models have existed for more than twenty years and are used in every significant insurance market globally, except, until recently, California for wildfire ratemaking.</w:t>
      </w:r>
      <w:r w:rsidRPr="00B41F17">
        <w:rPr>
          <w:rStyle w:val="FootnoteReference"/>
          <w:rFonts w:ascii="Times New Roman" w:hAnsi="Times New Roman"/>
          <w:sz w:val="20"/>
        </w:rPr>
        <w:footnoteReference w:id="45"/>
      </w:r>
      <w:r w:rsidRPr="00B41F17">
        <w:rPr>
          <w:rFonts w:ascii="Times New Roman" w:hAnsi="Times New Roman"/>
          <w:sz w:val="20"/>
        </w:rPr>
        <w:t xml:space="preserve"> </w:t>
      </w:r>
    </w:p>
    <w:p w14:paraId="1FE6491F"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lastRenderedPageBreak/>
        <w:t>The Insurance Development Forum, in a report entitled, How Technology Can Help Bridge the Protection Gap</w:t>
      </w:r>
      <w:r w:rsidRPr="00B41F17">
        <w:rPr>
          <w:rStyle w:val="FootnoteReference"/>
          <w:rFonts w:ascii="Times New Roman" w:hAnsi="Times New Roman"/>
          <w:sz w:val="20"/>
        </w:rPr>
        <w:footnoteReference w:id="46"/>
      </w:r>
      <w:r w:rsidRPr="00B41F17">
        <w:rPr>
          <w:rFonts w:ascii="Times New Roman" w:hAnsi="Times New Roman"/>
          <w:sz w:val="20"/>
        </w:rPr>
        <w:t>, goes further. It argues that earth observation capability, AI processing and forward-looking catastrophe modelling are not merely technical refinements to existing pricing infrastructure but constitute the essential preconditions for closing the secondary peril protection gap across both developing and developed markets – a conclusion that applies with particular force to the California wildfire context, where those tools existed but were regulatory foreclosed.</w:t>
      </w:r>
    </w:p>
    <w:p w14:paraId="608FEB13"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 A further dimension of the pricing inadequacy of retrospective models is their inability to incorporate the value of loss mitigation and risk abatement measures. Insurance pricing based on historical data cannot account for investments in fire-resistant building materials, defensible space, flood defence infrastructure, or community-level risk management programmes, because those investments were not made in the historical period the pricing model draws upon. The result is a systematic failure to send the price signals that would incentivise investment in resilience. Parametric and catastrophe model-based pricing structures can incorporate mitigation credits directly, rewarding property owners, developers and public authorities for measurable risk-reduction activities.</w:t>
      </w:r>
      <w:r w:rsidRPr="00B41F17">
        <w:rPr>
          <w:rStyle w:val="FootnoteReference"/>
          <w:rFonts w:ascii="Times New Roman" w:hAnsi="Times New Roman"/>
          <w:sz w:val="20"/>
        </w:rPr>
        <w:footnoteReference w:id="47"/>
      </w:r>
      <w:r w:rsidRPr="00B41F17">
        <w:rPr>
          <w:rFonts w:ascii="Times New Roman" w:hAnsi="Times New Roman"/>
          <w:sz w:val="20"/>
        </w:rPr>
        <w:t xml:space="preserve"> Neil Beresford's observation that current loss figures highlight "growing pressure on a system designed for a different climate reality," captures the structural dimension of this challenge concisely.</w:t>
      </w:r>
      <w:r w:rsidRPr="00B41F17">
        <w:rPr>
          <w:rStyle w:val="FootnoteReference"/>
          <w:rFonts w:ascii="Times New Roman" w:hAnsi="Times New Roman"/>
          <w:sz w:val="20"/>
        </w:rPr>
        <w:footnoteReference w:id="48"/>
      </w:r>
    </w:p>
    <w:p w14:paraId="0C3A1651"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t>5.3 Case Study: California and Governance by Foreclosure</w:t>
      </w:r>
    </w:p>
    <w:p w14:paraId="2B76CFCF"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The state of California provides the most consequential contemporary case study of what occurs when the governance-by-foreclosure variant identified in Section 2.3 operates in a rapidly changing climate risk environment. Proposition 103, enacted by California voters in 1988, established a prior-approval regime for insurance rate increases and required insurers to calculate catastrophe factors for homeowners insurance rates </w:t>
      </w:r>
      <w:r w:rsidRPr="00B41F17">
        <w:rPr>
          <w:rFonts w:ascii="Times New Roman" w:hAnsi="Times New Roman"/>
          <w:sz w:val="20"/>
        </w:rPr>
        <w:lastRenderedPageBreak/>
        <w:t>using historical loss data.</w:t>
      </w:r>
      <w:r w:rsidRPr="00B41F17">
        <w:rPr>
          <w:rStyle w:val="FootnoteReference"/>
          <w:rFonts w:ascii="Times New Roman" w:hAnsi="Times New Roman"/>
          <w:sz w:val="20"/>
        </w:rPr>
        <w:footnoteReference w:id="49"/>
      </w:r>
      <w:r w:rsidRPr="00B41F17">
        <w:rPr>
          <w:rFonts w:ascii="Times New Roman" w:hAnsi="Times New Roman"/>
          <w:sz w:val="20"/>
        </w:rPr>
        <w:t xml:space="preserve"> For the following three decades, insurers were effectively precluded from using forward-looking catastrophe modelling in their wildfire rate filings; they could not price in projected changes in fire frequency or severity, could not account for the changing characteristics of the wildland-urban interface, and could not reflect the rapidly appreciating cost of rebuilding in high-risk areas. Reinsurance costs, which are priced in a global market using catastrophe models that do incorporate forward-looking data, were similarly excluded from the rate-calculation framework.</w:t>
      </w:r>
      <w:r w:rsidRPr="00B41F17">
        <w:rPr>
          <w:rStyle w:val="FootnoteReference"/>
          <w:rFonts w:ascii="Times New Roman" w:hAnsi="Times New Roman"/>
          <w:sz w:val="20"/>
        </w:rPr>
        <w:footnoteReference w:id="50"/>
      </w:r>
    </w:p>
    <w:p w14:paraId="080EFC63"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This is not governance by absence. The characteristic feature of the governance-by-absence pattern identified in Section 2 is that the regulatory vacuum allows private ordering — through coverage conditions, pricing signals and underwriting standards — to perform a holding function until formal frameworks develop. California's regulatory framework was not absent. It was actively present and actively prohibitive of the informational tools the market needed. Insurers could not govern by conditionality because they could not price the risk. They could not govern by absence in the ordinary sense because the market structure of a mandatory public backstop meant that their withdrawal did not contract the overall risk pool but simply transferred it to an undercapitalised public entity. The regulatory constraint foreclosed both normal private ordering mechanisms simultaneously.</w:t>
      </w:r>
    </w:p>
    <w:p w14:paraId="41F520AE"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consequences became acute as California's wildfire risk transformed. According to CAL FIRE data, fourteen of the twenty most destructive wildfires in the state’s recorded history have occurred since 2017.</w:t>
      </w:r>
      <w:r w:rsidRPr="00B41F17">
        <w:rPr>
          <w:rStyle w:val="FootnoteReference"/>
          <w:rFonts w:ascii="Times New Roman" w:hAnsi="Times New Roman"/>
          <w:sz w:val="20"/>
        </w:rPr>
        <w:footnoteReference w:id="51"/>
      </w:r>
      <w:r w:rsidRPr="00B41F17">
        <w:rPr>
          <w:rFonts w:ascii="Times New Roman" w:hAnsi="Times New Roman"/>
          <w:sz w:val="20"/>
        </w:rPr>
        <w:t xml:space="preserve"> Major insurers found themselves unable to price the risk appropriately under the regulatory framework and began withdrawing from the market or non-renewing policies in high-risk areas. Seven of California's largest homeowners insurers paused or materially curtailed their business in the state in the years before 2024.</w:t>
      </w:r>
      <w:r w:rsidRPr="00B41F17">
        <w:rPr>
          <w:rStyle w:val="FootnoteReference"/>
          <w:rFonts w:ascii="Times New Roman" w:hAnsi="Times New Roman"/>
          <w:sz w:val="20"/>
        </w:rPr>
        <w:footnoteReference w:id="52"/>
      </w:r>
      <w:r w:rsidRPr="00B41F17">
        <w:rPr>
          <w:rFonts w:ascii="Times New Roman" w:hAnsi="Times New Roman"/>
          <w:sz w:val="20"/>
        </w:rPr>
        <w:t xml:space="preserve"> California illustrates with unusual clarity what leading scholarship on climate risk-sharing has identified as the characteristic pathology of regulatory price suppression: that the outcomes it produces — progressive market withdrawal, the concentration of catastrophic risk in undercapitalised backstop mechanisms, and eventual regulatory crisis — are far more damaging to consumers than the premium increases the regulatory framework was designed to prevent.</w:t>
      </w:r>
      <w:r w:rsidRPr="00B41F17">
        <w:rPr>
          <w:rStyle w:val="FootnoteReference"/>
          <w:rFonts w:ascii="Times New Roman" w:hAnsi="Times New Roman"/>
          <w:sz w:val="20"/>
        </w:rPr>
        <w:footnoteReference w:id="53"/>
      </w:r>
    </w:p>
    <w:p w14:paraId="73F38E52"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lastRenderedPageBreak/>
        <w:t>The California FAIR Plan, established as a statutory insurer of last resort for property owners unable to obtain coverage in the private market,</w:t>
      </w:r>
      <w:r w:rsidRPr="00B41F17">
        <w:rPr>
          <w:rStyle w:val="FootnoteReference"/>
          <w:rFonts w:ascii="Times New Roman" w:hAnsi="Times New Roman"/>
          <w:sz w:val="20"/>
        </w:rPr>
        <w:footnoteReference w:id="54"/>
      </w:r>
      <w:r w:rsidRPr="00B41F17">
        <w:rPr>
          <w:rFonts w:ascii="Times New Roman" w:hAnsi="Times New Roman"/>
          <w:sz w:val="20"/>
        </w:rPr>
        <w:t xml:space="preserve"> became the repository of that socialised risk. Between September 2021 and March 2025, the number of FAIR Plan policies in force increased by 139 per cent. As of March 2025 the Plan carried 573,739 policies with total insured exposure of USD 599 billion, a 74 per cent increase in exposure in eighteen months.</w:t>
      </w:r>
      <w:r w:rsidRPr="00B41F17">
        <w:rPr>
          <w:rStyle w:val="FootnoteReference"/>
          <w:rFonts w:ascii="Times New Roman" w:hAnsi="Times New Roman"/>
          <w:sz w:val="20"/>
        </w:rPr>
        <w:footnoteReference w:id="55"/>
      </w:r>
      <w:r w:rsidRPr="00B41F17">
        <w:rPr>
          <w:rFonts w:ascii="Times New Roman" w:hAnsi="Times New Roman"/>
          <w:sz w:val="20"/>
        </w:rPr>
        <w:t xml:space="preserve"> The Plan was neither capitalised nor reinsured for this scale of concentration. When the January 2025 wildfires destroyed approximately sixteen thousand structures in the Los Angeles metropolitan area, the FAIR Plan's exposure for the Palisades and Eaton fires exceeded USD 4.8 billion combined, whilst the Plan had only USD 377 million in available reserves before accessing reinsurance.</w:t>
      </w:r>
      <w:r w:rsidRPr="00B41F17">
        <w:rPr>
          <w:rStyle w:val="FootnoteReference"/>
          <w:rFonts w:ascii="Times New Roman" w:hAnsi="Times New Roman"/>
          <w:sz w:val="20"/>
        </w:rPr>
        <w:footnoteReference w:id="56"/>
      </w:r>
      <w:r w:rsidRPr="00B41F17">
        <w:rPr>
          <w:rFonts w:ascii="Times New Roman" w:hAnsi="Times New Roman"/>
          <w:sz w:val="20"/>
        </w:rPr>
        <w:t xml:space="preserve"> The Plan was assessed USD 1 billion to cover losses; insurers were permitted to pass USD 500 million of that assessment to their policyholders across the state.</w:t>
      </w:r>
      <w:r w:rsidRPr="00B41F17">
        <w:rPr>
          <w:rStyle w:val="FootnoteReference"/>
          <w:rFonts w:ascii="Times New Roman" w:hAnsi="Times New Roman"/>
          <w:sz w:val="20"/>
        </w:rPr>
        <w:footnoteReference w:id="57"/>
      </w:r>
    </w:p>
    <w:p w14:paraId="61A7DB32" w14:textId="7EB8147B"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regulatory response came belatedly. Commissioner Lara's Sustainable Insurance Strategy was formally completed in late 2024.</w:t>
      </w:r>
      <w:r w:rsidRPr="00B41F17">
        <w:rPr>
          <w:rStyle w:val="FootnoteReference"/>
          <w:rFonts w:ascii="Times New Roman" w:hAnsi="Times New Roman"/>
          <w:sz w:val="20"/>
        </w:rPr>
        <w:footnoteReference w:id="58"/>
      </w:r>
      <w:r w:rsidRPr="00B41F17">
        <w:rPr>
          <w:rFonts w:ascii="Times New Roman" w:hAnsi="Times New Roman"/>
          <w:sz w:val="20"/>
        </w:rPr>
        <w:t xml:space="preserve"> For the first time, insurers are permitted to use forward-looking wildfire catastrophe models in rate filings, with reviews completed for models from Verisk, Karen Clark and Company, and Moody's.</w:t>
      </w:r>
      <w:r w:rsidRPr="00B41F17">
        <w:rPr>
          <w:rStyle w:val="FootnoteReference"/>
          <w:rFonts w:ascii="Times New Roman" w:hAnsi="Times New Roman"/>
          <w:sz w:val="20"/>
        </w:rPr>
        <w:footnoteReference w:id="59"/>
      </w:r>
      <w:r w:rsidRPr="00B41F17">
        <w:rPr>
          <w:rFonts w:ascii="Times New Roman" w:hAnsi="Times New Roman"/>
          <w:sz w:val="20"/>
        </w:rPr>
        <w:t xml:space="preserve"> </w:t>
      </w:r>
      <w:r w:rsidRPr="00B41F17">
        <w:rPr>
          <w:rFonts w:ascii="Times New Roman" w:hAnsi="Times New Roman"/>
          <w:sz w:val="20"/>
        </w:rPr>
        <w:lastRenderedPageBreak/>
        <w:t>In exchange, insurers are required to write at least 85 per cent of their statewide market share in wildfire-distressed areas. The reform acknowledges explicitly what the preceding thirty years of regulatory constraint had denied: that historical data alone is not sufficient for determining fair and accurate insurance premiums in a dynamically changing risk environment.</w:t>
      </w:r>
    </w:p>
    <w:p w14:paraId="7F90ED4B"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California experience illuminates three arguments of this article simultaneously. It demonstrates that regulatory misalignment can produce outcomes far worse than regulatory absence. It demonstrates that the capacity to govern risk accurately depends upon access to the right data, and that regulatory frameworks constraining the use of available data in the name of consumer protection may produce outcomes far less protective of consumers than accurate and transparent risk pricing would deliver. And it demonstrates that Arnold-Dwyer's argument, that insurers should function as climate action enablers rather than passive risk-bearers, requires the regulatory precondition of frameworks that permit forward-looking risk modelling: where regulatory design forecloses accurate pricing, the enabling function of insurance cannot operate.</w:t>
      </w:r>
      <w:r w:rsidRPr="00B41F17">
        <w:rPr>
          <w:rStyle w:val="FootnoteReference"/>
          <w:rFonts w:ascii="Times New Roman" w:hAnsi="Times New Roman"/>
          <w:sz w:val="20"/>
        </w:rPr>
        <w:footnoteReference w:id="60"/>
      </w:r>
    </w:p>
    <w:p w14:paraId="75EC582B"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t>5.4 Digital Twin Technology</w:t>
      </w:r>
    </w:p>
    <w:p w14:paraId="06FF68A1"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Of the technologies now reshaping insurance risk assessment, digital twin technology may ultimately prove the most transformative in its implications for the information asymmetry principle. A digital twin is a digital replica of a physical object, person, system, or process, contextualised in a digital version of its environment.</w:t>
      </w:r>
      <w:r w:rsidRPr="00B41F17">
        <w:rPr>
          <w:rStyle w:val="FootnoteReference"/>
          <w:rFonts w:ascii="Times New Roman" w:hAnsi="Times New Roman"/>
          <w:sz w:val="20"/>
        </w:rPr>
        <w:footnoteReference w:id="61"/>
      </w:r>
      <w:r w:rsidRPr="00B41F17">
        <w:rPr>
          <w:rFonts w:ascii="Times New Roman" w:hAnsi="Times New Roman"/>
          <w:sz w:val="20"/>
        </w:rPr>
        <w:t xml:space="preserve"> In the insurance context, this means the creation and continuous maintenance of a virtual model of an insured asset, updated in real time with data from sensors, IoT devices, satellite imagery, maintenance records and environmental monitoring systems, capable of modelling future loss scenarios and generating dynamic risk scores.</w:t>
      </w:r>
    </w:p>
    <w:p w14:paraId="0F5D9779"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In the property insurance context, the Grenfell Tower disaster illustrated the risks posed by aluminium composite panels on building facades and the absence of reliable information about their presence in the relevant risk assessment infrastructure at the time. Digital twin models are increasingly being developed to incorporate information on the presence and coverage of such panels, enabling insurers to evaluate this specific risk with greater precision than traditional survey-based methods permit.</w:t>
      </w:r>
      <w:r w:rsidRPr="00B41F17">
        <w:rPr>
          <w:rStyle w:val="FootnoteReference"/>
          <w:rFonts w:ascii="Times New Roman" w:hAnsi="Times New Roman"/>
          <w:sz w:val="20"/>
        </w:rPr>
        <w:footnoteReference w:id="62"/>
      </w:r>
      <w:r w:rsidRPr="00B41F17">
        <w:rPr>
          <w:rFonts w:ascii="Times New Roman" w:hAnsi="Times New Roman"/>
          <w:sz w:val="20"/>
        </w:rPr>
        <w:t xml:space="preserve"> For a portfolio of insured buildings, digital twin technology enables correlated risk analysis across the entire book, identifying systemic exposures across multiple properties rather than assessing each building in isolation.</w:t>
      </w:r>
    </w:p>
    <w:p w14:paraId="1488AC2A" w14:textId="7ED0A832"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In the life and health insurance context, the integration of digital twin technology with genomic data, wearable sensors and electronic health records creates the possibility of a continuously updated virtual replica of the insured </w:t>
      </w:r>
      <w:r w:rsidRPr="00B41F17">
        <w:rPr>
          <w:rFonts w:ascii="Times New Roman" w:hAnsi="Times New Roman"/>
          <w:sz w:val="20"/>
        </w:rPr>
        <w:lastRenderedPageBreak/>
        <w:t>individual's physiological state. The life insurer maintaining a digital twin of its policyholders would occupy an epistemic position that is the direct inverse of the traditional one: it knows things about the insured's health that the insured may not themselves know. In such circumstances, the insured's duty to disclose material facts about their health becomes almost paradoxical. Existing law provides no settled answer to which party, in such circumstances, owes a duty of</w:t>
      </w:r>
      <w:r w:rsidR="00796C39">
        <w:rPr>
          <w:rFonts w:ascii="Times New Roman" w:hAnsi="Times New Roman"/>
          <w:sz w:val="20"/>
        </w:rPr>
        <w:t xml:space="preserve"> disclosure </w:t>
      </w:r>
      <w:r w:rsidRPr="00B41F17">
        <w:rPr>
          <w:rFonts w:ascii="Times New Roman" w:hAnsi="Times New Roman"/>
          <w:sz w:val="20"/>
        </w:rPr>
        <w:t>to the other — a question the Insurance Act 2015 was not designed to address.</w:t>
      </w:r>
      <w:r w:rsidR="00622C45">
        <w:rPr>
          <w:rStyle w:val="FootnoteReference"/>
          <w:rFonts w:ascii="Times New Roman" w:hAnsi="Times New Roman"/>
          <w:sz w:val="20"/>
        </w:rPr>
        <w:footnoteReference w:id="63"/>
      </w:r>
    </w:p>
    <w:p w14:paraId="5A418B5E"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Digital twin technology also transforms claims management. Post-event, digital twins reconstructed from pre-loss data and three-dimensional scans allow for automated damage assessment. By comparing actual damage against pre-loss simulated impact models, insurers can identify anomalous claims patterns indicative of fraud, applying model-based analysis rather than relying on the insured's account.</w:t>
      </w:r>
      <w:r w:rsidRPr="00B41F17">
        <w:rPr>
          <w:rStyle w:val="FootnoteReference"/>
          <w:rFonts w:ascii="Times New Roman" w:hAnsi="Times New Roman"/>
          <w:sz w:val="20"/>
        </w:rPr>
        <w:footnoteReference w:id="64"/>
      </w:r>
      <w:r w:rsidRPr="00B41F17">
        <w:rPr>
          <w:rFonts w:ascii="Times New Roman" w:hAnsi="Times New Roman"/>
          <w:sz w:val="20"/>
        </w:rPr>
        <w:t xml:space="preserve"> The insurer's informational advantage is therefore itself contingent upon sustained data investment, a dependency that generates new obligations of data governance, security and accuracy - including potential liability exposure where flawed twin data underlies an adverse underwriting or claims.</w:t>
      </w:r>
      <w:r w:rsidRPr="00B41F17">
        <w:rPr>
          <w:rStyle w:val="FootnoteReference"/>
          <w:rFonts w:ascii="Times New Roman" w:hAnsi="Times New Roman"/>
          <w:sz w:val="20"/>
        </w:rPr>
        <w:footnoteReference w:id="65"/>
      </w:r>
      <w:r w:rsidRPr="00B41F17">
        <w:rPr>
          <w:rFonts w:ascii="Times New Roman" w:hAnsi="Times New Roman"/>
          <w:sz w:val="20"/>
        </w:rPr>
        <w:t xml:space="preserve"> </w:t>
      </w:r>
    </w:p>
    <w:p w14:paraId="1F8C7343"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Digital twin technology highlights the inadequacy of a disclosure regime calibrated to the proposition that the insured is the primary source of risk information. Where the insurer's own systems provide superior and continuously updated information about the risk, the legal and ethical case for requiring the insured to make a formal pre-contractual presentation of that risk is considerably weakened. The disclosure obligation arguably requires </w:t>
      </w:r>
      <w:proofErr w:type="spellStart"/>
      <w:r w:rsidRPr="00B41F17">
        <w:rPr>
          <w:rFonts w:ascii="Times New Roman" w:hAnsi="Times New Roman"/>
          <w:sz w:val="20"/>
        </w:rPr>
        <w:t>reconceptualisation</w:t>
      </w:r>
      <w:proofErr w:type="spellEnd"/>
      <w:r w:rsidRPr="00B41F17">
        <w:rPr>
          <w:rFonts w:ascii="Times New Roman" w:hAnsi="Times New Roman"/>
          <w:sz w:val="20"/>
        </w:rPr>
        <w:t xml:space="preserve"> not as a duty upon the insured to inform an uninformed insurer but as a mutual duty of transparency between parties who each hold significant, and differently constituted, bodies of risk-relevant information.</w:t>
      </w:r>
    </w:p>
    <w:p w14:paraId="16790E4A" w14:textId="7AA71CA9"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The temporal assumptions embedded in current insurance law are equally challenged. The traditional insurance contract is agreed at a specific point in time and reflects a risk profile assessed at inception. Digital twin technology makes possible a contract structure in which the risk profile and corresponding premium are continuously revised in near real time. The legal infrastructure for such arrangements, the rules governing unilateral variation of contract terms, the notice requirements for premium changes, and the remedies available to an insured whose premium increases following a digital twin risk assessment they regard as inaccurate, does not presently exist in </w:t>
      </w:r>
      <w:r w:rsidRPr="00B41F17">
        <w:rPr>
          <w:rFonts w:ascii="Times New Roman" w:hAnsi="Times New Roman"/>
          <w:sz w:val="20"/>
        </w:rPr>
        <w:lastRenderedPageBreak/>
        <w:t>any developed form under English law. The Insurance Act 2015 reformed the disclosure and remedy framework for the traditional annual contract</w:t>
      </w:r>
      <w:r w:rsidRPr="00B41F17">
        <w:rPr>
          <w:rStyle w:val="FootnoteReference"/>
          <w:rFonts w:ascii="Times New Roman" w:hAnsi="Times New Roman"/>
          <w:sz w:val="20"/>
        </w:rPr>
        <w:footnoteReference w:id="66"/>
      </w:r>
      <w:r w:rsidRPr="00B41F17">
        <w:rPr>
          <w:rFonts w:ascii="Times New Roman" w:hAnsi="Times New Roman"/>
          <w:sz w:val="20"/>
        </w:rPr>
        <w:t>; it was not designed for the continuously-calibrated risk relationship that digital twin technology makes feasible.</w:t>
      </w:r>
    </w:p>
    <w:p w14:paraId="3D25EA1A" w14:textId="77777777" w:rsidR="00EB5F70" w:rsidRPr="00B41F17" w:rsidRDefault="00EB5F70" w:rsidP="00B41F17">
      <w:pPr>
        <w:pStyle w:val="Heading1"/>
        <w:spacing w:line="360" w:lineRule="auto"/>
        <w:rPr>
          <w:rFonts w:ascii="Times New Roman" w:hAnsi="Times New Roman"/>
          <w:b/>
          <w:color w:val="auto"/>
          <w:sz w:val="20"/>
        </w:rPr>
      </w:pPr>
      <w:r w:rsidRPr="00B41F17">
        <w:rPr>
          <w:rFonts w:ascii="Times New Roman" w:hAnsi="Times New Roman"/>
          <w:b/>
          <w:color w:val="auto"/>
          <w:sz w:val="20"/>
        </w:rPr>
        <w:t>6. The Liability Shift</w:t>
      </w:r>
    </w:p>
    <w:p w14:paraId="7292AA47"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Autonomous vehicles are the most visible and legally consequential manifestation of the broader automation trend currently under way. The traditional motor insurance framework is constructed around the driver as the primary risk-generating agent. Data from National Highway Traffic Safety Administration</w:t>
      </w:r>
      <w:r w:rsidRPr="00B41F17">
        <w:rPr>
          <w:rStyle w:val="FootnoteReference"/>
          <w:rFonts w:ascii="Times New Roman" w:hAnsi="Times New Roman"/>
          <w:sz w:val="20"/>
        </w:rPr>
        <w:footnoteReference w:id="67"/>
      </w:r>
      <w:r w:rsidRPr="00B41F17">
        <w:rPr>
          <w:rFonts w:ascii="Times New Roman" w:hAnsi="Times New Roman"/>
          <w:sz w:val="20"/>
        </w:rPr>
        <w:t xml:space="preserve"> indicates that the last critical event in the causal chain was driver action attributable in 94 per cent of crashes studied</w:t>
      </w:r>
      <w:r w:rsidRPr="00B41F17">
        <w:rPr>
          <w:rStyle w:val="FootnoteReference"/>
          <w:rFonts w:ascii="Times New Roman" w:hAnsi="Times New Roman"/>
          <w:sz w:val="20"/>
        </w:rPr>
        <w:footnoteReference w:id="68"/>
      </w:r>
      <w:r w:rsidRPr="00B41F17">
        <w:rPr>
          <w:rFonts w:ascii="Times New Roman" w:hAnsi="Times New Roman"/>
          <w:sz w:val="20"/>
        </w:rPr>
        <w:t xml:space="preserve"> — a figure widely cited as evidence of human fallibility as the dominant risk factor in road accidents, albeit one that does not equate to driver fault in each case. Automated systems remove the human driver from the causal chain; the risk of accident migrates from the driver to the vehicle's control systems and from those systems to the manufacturers and software developers who designed and deployed them.</w:t>
      </w:r>
    </w:p>
    <w:p w14:paraId="7F9B66E4" w14:textId="77777777" w:rsidR="00EB5F70" w:rsidRPr="00B41F17" w:rsidRDefault="00EB5F70" w:rsidP="00B41F17">
      <w:pPr>
        <w:spacing w:after="220" w:line="360" w:lineRule="auto"/>
        <w:jc w:val="both"/>
        <w:rPr>
          <w:rFonts w:ascii="Times New Roman" w:hAnsi="Times New Roman"/>
          <w:sz w:val="20"/>
          <w:lang w:val="en-US"/>
        </w:rPr>
      </w:pPr>
      <w:r w:rsidRPr="00B41F17">
        <w:rPr>
          <w:rFonts w:ascii="Times New Roman" w:hAnsi="Times New Roman"/>
          <w:sz w:val="20"/>
          <w:lang w:val="en-US"/>
        </w:rPr>
        <w:t>Accordingly, a fundamental question that arises in relation to autonomous vehicles is who should be liable for injury or damage caused to the owner, driver or any other person in any accident. The solution adopted in the Automated and Electric Vehicles Act 2018 (UK) is to extend compulsory motor vehicle insurance to cover the use of automated vehicles in automated mode. In essence, the 2018 Act lays some of the groundwork in relation to autonomous vehicles through the introduction of compulsory “single insurer’ insurance whereby both the driver and victim of any accident involving and caused by an autonomous vehicle will have recourse from an insurer in the first instance.</w:t>
      </w:r>
    </w:p>
    <w:p w14:paraId="07C737D6" w14:textId="76F6A33A"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Certain limitations and gaps in the 2018 Act are </w:t>
      </w:r>
      <w:proofErr w:type="gramStart"/>
      <w:r w:rsidRPr="00B41F17">
        <w:rPr>
          <w:rFonts w:ascii="Times New Roman" w:hAnsi="Times New Roman"/>
          <w:sz w:val="20"/>
        </w:rPr>
        <w:t>addressed, or</w:t>
      </w:r>
      <w:proofErr w:type="gramEnd"/>
      <w:r w:rsidRPr="00B41F17">
        <w:rPr>
          <w:rFonts w:ascii="Times New Roman" w:hAnsi="Times New Roman"/>
          <w:sz w:val="20"/>
        </w:rPr>
        <w:t xml:space="preserve"> foreshadowed to be addressed by the Automated Vehicles Act 2024 (UK). For example, the course of redress for insurers from manufacturers of AV technology is somewhat unclear, given the complexities of supply chains and multiple suppliers of discrete elements of the software involved and a lack of clarity around who is responsible for the content of user manuals.  A detailed discussion of this legislation is beyond the scope of this article, but it is noted that the 2024 Act seeks to address issues of consumer confidence in autonomous vehicles and to clarify some of the questions around legal liability under the 2018 Act by broadly implementing the recommendations of a </w:t>
      </w:r>
      <w:hyperlink r:id="rId8" w:history="1">
        <w:r w:rsidRPr="00B41F17">
          <w:rPr>
            <w:rStyle w:val="Hyperlink"/>
            <w:rFonts w:ascii="Times New Roman" w:hAnsi="Times New Roman"/>
            <w:color w:val="auto"/>
            <w:sz w:val="20"/>
            <w:u w:val="none"/>
          </w:rPr>
          <w:t>joint report</w:t>
        </w:r>
      </w:hyperlink>
      <w:r w:rsidRPr="00B41F17">
        <w:rPr>
          <w:rFonts w:ascii="Times New Roman" w:hAnsi="Times New Roman"/>
          <w:sz w:val="20"/>
        </w:rPr>
        <w:t> by the Law Commissions of England &amp; Wales and Scotland</w:t>
      </w:r>
      <w:r w:rsidRPr="00B41F17">
        <w:rPr>
          <w:rFonts w:ascii="Times New Roman" w:hAnsi="Times New Roman"/>
          <w:sz w:val="20"/>
          <w:vertAlign w:val="superscript"/>
        </w:rPr>
        <w:footnoteReference w:id="69"/>
      </w:r>
      <w:r w:rsidRPr="00B41F17">
        <w:rPr>
          <w:rFonts w:ascii="Times New Roman" w:hAnsi="Times New Roman"/>
          <w:sz w:val="20"/>
        </w:rPr>
        <w:t xml:space="preserve"> and introducing a clear framework for the safe operation of AVs in Great Britain. </w:t>
      </w:r>
      <w:r w:rsidRPr="00B41F17">
        <w:rPr>
          <w:rFonts w:ascii="Times New Roman" w:hAnsi="Times New Roman"/>
          <w:sz w:val="20"/>
          <w:vertAlign w:val="superscript"/>
        </w:rPr>
        <w:lastRenderedPageBreak/>
        <w:footnoteReference w:id="70"/>
      </w:r>
      <w:r w:rsidRPr="00B41F17">
        <w:rPr>
          <w:rFonts w:ascii="Times New Roman" w:hAnsi="Times New Roman"/>
          <w:sz w:val="20"/>
        </w:rPr>
        <w:t xml:space="preserve"> The 2024 Act establishes an authorisation regime for self-driving vehicles, a licensing framework for operators of no-user-in-charge vehicles and clarifies the legal position of the user-in-charge who is present but not exercising control. </w:t>
      </w:r>
    </w:p>
    <w:p w14:paraId="00B5BBBA" w14:textId="77777777" w:rsidR="00EB5F70" w:rsidRPr="00B41F17" w:rsidRDefault="00EB5F70" w:rsidP="00B41F17">
      <w:pPr>
        <w:spacing w:after="220" w:line="360" w:lineRule="auto"/>
        <w:jc w:val="both"/>
        <w:rPr>
          <w:rFonts w:ascii="Times New Roman" w:hAnsi="Times New Roman"/>
          <w:sz w:val="20"/>
          <w:lang w:val="en-US"/>
        </w:rPr>
      </w:pPr>
      <w:r w:rsidRPr="00B41F17">
        <w:rPr>
          <w:rFonts w:ascii="Times New Roman" w:hAnsi="Times New Roman"/>
          <w:sz w:val="20"/>
          <w:lang w:val="en-US"/>
        </w:rPr>
        <w:t xml:space="preserve">Driverless vehicles will likely continue to be vulnerable to the same types of claims that non-autonomous vehicles are including product liability cases focusing on mechanical or physical defects, electrical system defects, or software defects. To these must be added autonomous-technology specific claims relating to control systems and software. </w:t>
      </w:r>
    </w:p>
    <w:p w14:paraId="56EF7DC6" w14:textId="6EE0D23E" w:rsidR="00EB5F70" w:rsidRPr="00B41F17" w:rsidRDefault="00EB5F70" w:rsidP="00B41F17">
      <w:pPr>
        <w:spacing w:after="220" w:line="360" w:lineRule="auto"/>
        <w:jc w:val="both"/>
        <w:rPr>
          <w:rFonts w:ascii="Times New Roman" w:hAnsi="Times New Roman"/>
          <w:sz w:val="20"/>
          <w:lang w:val="en-US"/>
        </w:rPr>
      </w:pPr>
      <w:r w:rsidRPr="00B41F17">
        <w:rPr>
          <w:rFonts w:ascii="Times New Roman" w:hAnsi="Times New Roman"/>
          <w:sz w:val="20"/>
          <w:lang w:val="en-US"/>
        </w:rPr>
        <w:t xml:space="preserve">With increased autonomy, it is inevitable that the focus will shift from driver liability to possible manufacturer or design defects in the vehicle. This will potentially </w:t>
      </w:r>
      <w:r w:rsidR="00CA40C8">
        <w:rPr>
          <w:rFonts w:ascii="Times New Roman" w:hAnsi="Times New Roman" w:cs="Times New Roman"/>
          <w:sz w:val="20"/>
          <w:szCs w:val="20"/>
          <w:lang w:val="en-US"/>
        </w:rPr>
        <w:t>engage</w:t>
      </w:r>
      <w:r w:rsidRPr="00B41F17">
        <w:rPr>
          <w:rFonts w:ascii="Times New Roman" w:hAnsi="Times New Roman"/>
          <w:sz w:val="20"/>
          <w:lang w:val="en-US"/>
        </w:rPr>
        <w:t xml:space="preserve"> other policy types, including product liability insurance for manufacturers of autonomous vehicles and their components, and necessitate apportionment of liability with new insurance products which address product liability issues, as well as dealing with new and emerging risks such as cyber security and data protection.</w:t>
      </w:r>
    </w:p>
    <w:p w14:paraId="3CB8FF68" w14:textId="77777777" w:rsidR="00EB5F70" w:rsidRPr="00B41F17" w:rsidRDefault="00EB5F70" w:rsidP="00B41F17">
      <w:pPr>
        <w:spacing w:after="220" w:line="360" w:lineRule="auto"/>
        <w:jc w:val="both"/>
        <w:rPr>
          <w:rFonts w:ascii="Times New Roman" w:hAnsi="Times New Roman"/>
          <w:sz w:val="20"/>
          <w:lang w:val="en-US"/>
        </w:rPr>
      </w:pPr>
      <w:r w:rsidRPr="00B41F17">
        <w:rPr>
          <w:rFonts w:ascii="Times New Roman" w:hAnsi="Times New Roman"/>
          <w:sz w:val="20"/>
          <w:lang w:val="en-US"/>
        </w:rPr>
        <w:t>For insurers, the shift towards autonomous vehicles present challenges to adapt their policies and premiums to reflect the changing landscape, and to compete for business. With increasing automation and the focus of liability progressively migrating to the vehicle, particulars of the driver, his or her driving capacities as recorded by telematics and his/her claims history, will be subordinated to the detailed information as to the autonomous vehicles’ control system and software,</w:t>
      </w:r>
      <w:r w:rsidRPr="00B41F17">
        <w:rPr>
          <w:rFonts w:ascii="Times New Roman" w:hAnsi="Times New Roman"/>
          <w:sz w:val="20"/>
        </w:rPr>
        <w:t xml:space="preserve"> the manufacturer's safety record, the frequency and nature of software updates, and the vehicle's sensor performance in defined operational design domains.</w:t>
      </w:r>
      <w:r w:rsidRPr="00B41F17">
        <w:rPr>
          <w:rFonts w:ascii="Times New Roman" w:hAnsi="Times New Roman"/>
          <w:sz w:val="20"/>
          <w:lang w:val="en-US"/>
        </w:rPr>
        <w:t xml:space="preserve"> Risk assessment and rating will be driven by these vehicle factors and insurers will need to develop a whole new set of skills and expertise in-house to fully understand the intricate mechanical and technological details of every motor vehicle</w:t>
      </w:r>
      <w:r w:rsidRPr="00B41F17">
        <w:rPr>
          <w:rFonts w:ascii="Times New Roman" w:hAnsi="Times New Roman"/>
          <w:sz w:val="20"/>
          <w:vertAlign w:val="superscript"/>
          <w:lang w:val="en-US"/>
        </w:rPr>
        <w:footnoteReference w:id="71"/>
      </w:r>
      <w:r w:rsidRPr="00B41F17">
        <w:rPr>
          <w:rFonts w:ascii="Times New Roman" w:hAnsi="Times New Roman"/>
          <w:sz w:val="20"/>
          <w:lang w:val="en-US"/>
        </w:rPr>
        <w:t xml:space="preserve">. </w:t>
      </w:r>
    </w:p>
    <w:p w14:paraId="202AFBFF"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voluminous operational data generated by autonomous vehicles will be critically important for claims handling and liability attribution, but its availability on terms that are legally clear and practically workable must be reconciled with the UK GDPR's data minimisation and purpose limitation principles</w:t>
      </w:r>
      <w:r w:rsidRPr="00B41F17">
        <w:rPr>
          <w:rStyle w:val="FootnoteReference"/>
          <w:rFonts w:ascii="Times New Roman" w:hAnsi="Times New Roman"/>
          <w:sz w:val="20"/>
        </w:rPr>
        <w:footnoteReference w:id="72"/>
      </w:r>
      <w:r w:rsidRPr="00B41F17">
        <w:rPr>
          <w:rFonts w:ascii="Times New Roman" w:hAnsi="Times New Roman"/>
          <w:sz w:val="20"/>
        </w:rPr>
        <w:t xml:space="preserve">.Moreover, </w:t>
      </w:r>
      <w:proofErr w:type="spellStart"/>
      <w:r w:rsidRPr="00B41F17">
        <w:rPr>
          <w:rFonts w:ascii="Times New Roman" w:hAnsi="Times New Roman"/>
          <w:sz w:val="20"/>
        </w:rPr>
        <w:t>i</w:t>
      </w:r>
      <w:r w:rsidRPr="00B41F17">
        <w:rPr>
          <w:rFonts w:ascii="Times New Roman" w:hAnsi="Times New Roman"/>
          <w:sz w:val="20"/>
          <w:lang w:val="en-US"/>
        </w:rPr>
        <w:t>t</w:t>
      </w:r>
      <w:proofErr w:type="spellEnd"/>
      <w:r w:rsidRPr="00B41F17">
        <w:rPr>
          <w:rFonts w:ascii="Times New Roman" w:hAnsi="Times New Roman"/>
          <w:sz w:val="20"/>
          <w:lang w:val="en-US"/>
        </w:rPr>
        <w:t xml:space="preserve"> is clear that cooperation and collaboration between governments, manufacturers, insurance providers and technology companies will be essential if the journey to fully autonomous vehicles is to be hastened. The European Commission,</w:t>
      </w:r>
      <w:r w:rsidRPr="00B41F17">
        <w:rPr>
          <w:rFonts w:ascii="Times New Roman" w:hAnsi="Times New Roman"/>
          <w:sz w:val="20"/>
          <w:vertAlign w:val="superscript"/>
          <w:lang w:val="en-US"/>
        </w:rPr>
        <w:footnoteReference w:id="73"/>
      </w:r>
      <w:r w:rsidRPr="00B41F17">
        <w:rPr>
          <w:rFonts w:ascii="Times New Roman" w:hAnsi="Times New Roman"/>
          <w:sz w:val="20"/>
          <w:lang w:val="en-US"/>
        </w:rPr>
        <w:t xml:space="preserve"> for example, observed that Europe must seize the opportunities presented by ‘connected, </w:t>
      </w:r>
      <w:r w:rsidRPr="00B41F17">
        <w:rPr>
          <w:rFonts w:ascii="Times New Roman" w:hAnsi="Times New Roman"/>
          <w:sz w:val="20"/>
          <w:lang w:val="en-US"/>
        </w:rPr>
        <w:lastRenderedPageBreak/>
        <w:t xml:space="preserve">cooperative, and automated mobility’ (CCAM) and recognized that this ambition was best realized through joint initiatives in research and innovation, and through other partnerships focusing on digital technologies. Moreover, collaboration was required to address matters such as </w:t>
      </w:r>
      <w:proofErr w:type="spellStart"/>
      <w:r w:rsidRPr="00B41F17">
        <w:rPr>
          <w:rFonts w:ascii="Times New Roman" w:hAnsi="Times New Roman"/>
          <w:sz w:val="20"/>
          <w:lang w:val="en-US"/>
        </w:rPr>
        <w:t>harmonisation</w:t>
      </w:r>
      <w:proofErr w:type="spellEnd"/>
      <w:r w:rsidRPr="00B41F17">
        <w:rPr>
          <w:rFonts w:ascii="Times New Roman" w:hAnsi="Times New Roman"/>
          <w:sz w:val="20"/>
          <w:lang w:val="en-US"/>
        </w:rPr>
        <w:t xml:space="preserve"> and coordination of relevant traffic rules, liability for automated vehicles and to ensure that the key digital enablers are in place – such as, including electronic components for mobility, network infrastructure, cloud-to-edge resources, data technologies and governance as well as Artificial Intelligence</w:t>
      </w:r>
      <w:r w:rsidRPr="00B41F17">
        <w:rPr>
          <w:rFonts w:ascii="Times New Roman" w:hAnsi="Times New Roman"/>
          <w:sz w:val="20"/>
          <w:vertAlign w:val="superscript"/>
          <w:lang w:val="en-US"/>
        </w:rPr>
        <w:footnoteReference w:id="74"/>
      </w:r>
      <w:r w:rsidRPr="00B41F17">
        <w:rPr>
          <w:rFonts w:ascii="Times New Roman" w:hAnsi="Times New Roman"/>
          <w:sz w:val="20"/>
          <w:lang w:val="en-US"/>
        </w:rPr>
        <w:t xml:space="preserve">. Globally, the challenges and opportunities presented by autonomous vehicles will best be addressed by government and industry collaboration. </w:t>
      </w:r>
    </w:p>
    <w:p w14:paraId="2C12167E"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The single-insurer model adopted by the 2018 and 2024 Acts has much to commend it as a template for other jurisdictions. A regime fragmenting liability across multiple policies — traditional motor insurance for the driver, product liability for the manufacturer, professional indemnity for the software developer — creates the delay and confusion that injured parties can least afford. The single-insurer model concentrates liability, simplifies the injured party's recourse, and affords a </w:t>
      </w:r>
      <w:r w:rsidRPr="00B41F17">
        <w:rPr>
          <w:rFonts w:ascii="Times New Roman" w:hAnsi="Times New Roman"/>
          <w:sz w:val="20"/>
          <w:shd w:val="clear" w:color="auto" w:fill="FFFFFF" w:themeFill="background1"/>
        </w:rPr>
        <w:t>direct statutory right of recovery against any responsible third party.</w:t>
      </w:r>
      <w:r w:rsidRPr="00B41F17">
        <w:rPr>
          <w:rStyle w:val="FootnoteReference"/>
          <w:rFonts w:ascii="Times New Roman" w:hAnsi="Times New Roman"/>
          <w:sz w:val="20"/>
          <w:shd w:val="clear" w:color="auto" w:fill="FFFFFF" w:themeFill="background1"/>
        </w:rPr>
        <w:footnoteReference w:id="75"/>
      </w:r>
    </w:p>
    <w:p w14:paraId="4CF5A3BC" w14:textId="77777777" w:rsidR="00EB5F70" w:rsidRPr="00B41F17" w:rsidRDefault="00EB5F70" w:rsidP="00B41F17">
      <w:pPr>
        <w:pStyle w:val="Heading1"/>
        <w:spacing w:line="360" w:lineRule="auto"/>
        <w:rPr>
          <w:rFonts w:ascii="Times New Roman" w:hAnsi="Times New Roman"/>
          <w:b/>
          <w:color w:val="auto"/>
          <w:sz w:val="20"/>
        </w:rPr>
      </w:pPr>
      <w:r w:rsidRPr="00B41F17">
        <w:rPr>
          <w:rFonts w:ascii="Times New Roman" w:hAnsi="Times New Roman"/>
          <w:b/>
          <w:color w:val="auto"/>
          <w:sz w:val="20"/>
        </w:rPr>
        <w:t>7. The Regulatory Frontier</w:t>
      </w:r>
    </w:p>
    <w:p w14:paraId="06973379"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t>7.1 AI Exclusions and the Emerging Coverage Gap</w:t>
      </w:r>
    </w:p>
    <w:p w14:paraId="719E6A11"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deployment of artificial intelligence across insurance industry operations is generating a new area of coverage concern: the exclusion from existing policies of liabilities arising from AI-related activities. The capacity of generative AI systems to produce false responses, known as hallucinations, creates significant liability exposure for organisations relying upon AI outputs in high-stakes decision-making.</w:t>
      </w:r>
      <w:r w:rsidRPr="00B41F17">
        <w:rPr>
          <w:rStyle w:val="FootnoteReference"/>
          <w:rFonts w:ascii="Times New Roman" w:hAnsi="Times New Roman"/>
          <w:sz w:val="20"/>
        </w:rPr>
        <w:footnoteReference w:id="76"/>
      </w:r>
      <w:r w:rsidRPr="00B41F17">
        <w:rPr>
          <w:rFonts w:ascii="Times New Roman" w:hAnsi="Times New Roman"/>
          <w:sz w:val="20"/>
        </w:rPr>
        <w:t xml:space="preserve"> Insurers are responding by introducing AI-specific exclusions into directors' and officers' liability, errors and omissions, cyber and general liability policies, with some filings reportedly including absolute exclusions for any actual or alleged use, deployment, or development of artificial intelligence.</w:t>
      </w:r>
      <w:r w:rsidRPr="00B41F17">
        <w:rPr>
          <w:rStyle w:val="FootnoteReference"/>
          <w:rFonts w:ascii="Times New Roman" w:hAnsi="Times New Roman"/>
          <w:sz w:val="20"/>
        </w:rPr>
        <w:footnoteReference w:id="77"/>
      </w:r>
      <w:r w:rsidRPr="00B41F17">
        <w:rPr>
          <w:rFonts w:ascii="Times New Roman" w:hAnsi="Times New Roman"/>
          <w:sz w:val="20"/>
        </w:rPr>
        <w:t xml:space="preserve"> Industry commentators have observed that, whilst today's AI exclusions are not yet standard in the marketplace, their pace of adoption is accelerating.</w:t>
      </w:r>
      <w:r w:rsidRPr="00B41F17">
        <w:rPr>
          <w:rStyle w:val="FootnoteReference"/>
          <w:rFonts w:ascii="Times New Roman" w:hAnsi="Times New Roman"/>
          <w:sz w:val="20"/>
        </w:rPr>
        <w:footnoteReference w:id="78"/>
      </w:r>
    </w:p>
    <w:p w14:paraId="65580875"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historical pattern identified in Section 2 is directly applicable here. The withdrawal of coverage from AI-related activities is, in its current form, primarily governance by absence rather than governance by conditionality.</w:t>
      </w:r>
      <w:r w:rsidRPr="00B41F17">
        <w:rPr>
          <w:rStyle w:val="FootnoteReference"/>
          <w:rFonts w:ascii="Times New Roman" w:hAnsi="Times New Roman"/>
          <w:sz w:val="20"/>
        </w:rPr>
        <w:footnoteReference w:id="79"/>
      </w:r>
      <w:r w:rsidRPr="00B41F17">
        <w:rPr>
          <w:rFonts w:ascii="Times New Roman" w:hAnsi="Times New Roman"/>
          <w:sz w:val="20"/>
        </w:rPr>
        <w:t xml:space="preserve"> The behavioural effect is real: organisations will invest differently in AI systems if they know coverage is unavailable. But this is accidental governance, a side effect of risk aversion in conditions of uncertainty, rather than the deliberate standard-setting that characterises the more developed stages of private </w:t>
      </w:r>
      <w:r w:rsidRPr="00B41F17">
        <w:rPr>
          <w:rFonts w:ascii="Times New Roman" w:hAnsi="Times New Roman"/>
          <w:sz w:val="20"/>
        </w:rPr>
        <w:lastRenderedPageBreak/>
        <w:t>ordering. The trajectory from the cyber insurance market suggests that governance by conditionality will follow as the market gains experience and confidence. The EU AI Act, imposing binding requirements upon high-risk AI systems from 2 August 2026,</w:t>
      </w:r>
      <w:r w:rsidRPr="00B41F17">
        <w:rPr>
          <w:rStyle w:val="FootnoteReference"/>
          <w:rFonts w:ascii="Times New Roman" w:hAnsi="Times New Roman"/>
          <w:sz w:val="20"/>
        </w:rPr>
        <w:footnoteReference w:id="80"/>
      </w:r>
      <w:r w:rsidRPr="00B41F17">
        <w:rPr>
          <w:rFonts w:ascii="Times New Roman" w:hAnsi="Times New Roman"/>
          <w:sz w:val="20"/>
        </w:rPr>
        <w:t xml:space="preserve"> will provide the regulatory perimeter within which affirmative AI liability products can be designed, accelerating the transition from absence to conditionality.</w:t>
      </w:r>
    </w:p>
    <w:p w14:paraId="7D495B20"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distinction between governance by absence and governance by conditionality has normative significance. When insurers make coverage conditional on specific risk-reduction measures, the governance function is relatively transparent: the insured knows what standards are required and can make an informed choice. When insurers simply withdraw from a risk class, the insured knows that coverage is unavailable but may not know why, or what would be required to make the risk insurable. The development of affirmative AI liability products with clearly articulated coverage conditions is therefore not merely a market opportunity but a contribution to the broader governance function that the insurance industry has historically provided.</w:t>
      </w:r>
    </w:p>
    <w:p w14:paraId="0239C6AD" w14:textId="1190A3FE"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interaction between AI exclusions and the Insurance Act 2015's requirements of fair presentation and proportionate remedy is also relevant. The insured who uses AI in its operations but does not disclose this on the basis that it does not appreciate the materiality of the point faces the possibility</w:t>
      </w:r>
      <w:r w:rsidR="00622C45">
        <w:rPr>
          <w:rFonts w:ascii="Times New Roman" w:hAnsi="Times New Roman"/>
          <w:sz w:val="20"/>
        </w:rPr>
        <w:t xml:space="preserve"> </w:t>
      </w:r>
      <w:r w:rsidR="00622C45" w:rsidRPr="00622C45">
        <w:rPr>
          <w:rFonts w:ascii="Times New Roman" w:hAnsi="Times New Roman"/>
          <w:sz w:val="20"/>
        </w:rPr>
        <w:t>that an exclusion will be applied retrospectively if the insurer can prove that, but for the breach of the insured’s duty of fair presentation, the insurer would not have entered into the contract without that exclusion</w:t>
      </w:r>
      <w:r w:rsidR="00622C45">
        <w:rPr>
          <w:rStyle w:val="FootnoteReference"/>
          <w:rFonts w:ascii="Times New Roman" w:hAnsi="Times New Roman"/>
          <w:sz w:val="20"/>
        </w:rPr>
        <w:footnoteReference w:id="81"/>
      </w:r>
      <w:r w:rsidR="00622C45" w:rsidRPr="00622C45">
        <w:rPr>
          <w:rFonts w:ascii="Times New Roman" w:hAnsi="Times New Roman"/>
          <w:sz w:val="20"/>
        </w:rPr>
        <w:t xml:space="preserve">. </w:t>
      </w:r>
      <w:r w:rsidRPr="00B41F17">
        <w:rPr>
          <w:rFonts w:ascii="Times New Roman" w:hAnsi="Times New Roman"/>
          <w:sz w:val="20"/>
        </w:rPr>
        <w:t xml:space="preserve"> The Law Commission's 2021 conclusion that smart contracts are capable of forming legally binding contracts under English law</w:t>
      </w:r>
      <w:r w:rsidRPr="00B41F17">
        <w:rPr>
          <w:rStyle w:val="FootnoteReference"/>
          <w:rFonts w:ascii="Times New Roman" w:hAnsi="Times New Roman"/>
          <w:sz w:val="20"/>
        </w:rPr>
        <w:footnoteReference w:id="82"/>
      </w:r>
      <w:r w:rsidRPr="00B41F17">
        <w:rPr>
          <w:rFonts w:ascii="Times New Roman" w:hAnsi="Times New Roman"/>
          <w:sz w:val="20"/>
        </w:rPr>
        <w:t xml:space="preserve"> provides a useful parallel: a new technology is deployed; the common law reaches for existing principles; formal regulation follows once the technology has matured. The FCA's Consumer Duty obligations of fair value and consumer understanding</w:t>
      </w:r>
      <w:r w:rsidRPr="00B41F17">
        <w:rPr>
          <w:rStyle w:val="FootnoteReference"/>
          <w:rFonts w:ascii="Times New Roman" w:hAnsi="Times New Roman"/>
          <w:sz w:val="20"/>
        </w:rPr>
        <w:footnoteReference w:id="83"/>
      </w:r>
      <w:r w:rsidRPr="00B41F17">
        <w:rPr>
          <w:rFonts w:ascii="Times New Roman" w:hAnsi="Times New Roman"/>
          <w:sz w:val="20"/>
        </w:rPr>
        <w:t xml:space="preserve"> apply with equal force to the scope and transparency of AI exclusions.</w:t>
      </w:r>
    </w:p>
    <w:p w14:paraId="7D878B9F" w14:textId="77777777" w:rsidR="00EB5F70" w:rsidRPr="00B41F17" w:rsidRDefault="00EB5F70" w:rsidP="00B41F17">
      <w:pPr>
        <w:pStyle w:val="Heading2"/>
        <w:spacing w:line="360" w:lineRule="auto"/>
        <w:rPr>
          <w:rFonts w:ascii="Times New Roman" w:hAnsi="Times New Roman"/>
          <w:b/>
          <w:i/>
          <w:color w:val="auto"/>
          <w:sz w:val="20"/>
        </w:rPr>
      </w:pPr>
      <w:r w:rsidRPr="00B41F17">
        <w:rPr>
          <w:rFonts w:ascii="Times New Roman" w:hAnsi="Times New Roman"/>
          <w:b/>
          <w:i/>
          <w:color w:val="auto"/>
          <w:sz w:val="20"/>
        </w:rPr>
        <w:t>7.2 Genetic Information and the Limits of Risk Differentiation</w:t>
      </w:r>
    </w:p>
    <w:p w14:paraId="54045C7B"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rapid development of genomic science and epigenetic research represents perhaps the most profound long-term challenge to the conceptual foundations of insurance risk pooling. Genetic discrimination, the differential treatment of asymptomatic individuals or their relatives on the basis of their actual or presumed genetic characteristics,</w:t>
      </w:r>
      <w:r w:rsidRPr="00B41F17">
        <w:rPr>
          <w:rStyle w:val="FootnoteReference"/>
          <w:rFonts w:ascii="Times New Roman" w:hAnsi="Times New Roman"/>
          <w:sz w:val="20"/>
        </w:rPr>
        <w:footnoteReference w:id="84"/>
      </w:r>
      <w:r w:rsidRPr="00B41F17">
        <w:rPr>
          <w:rFonts w:ascii="Times New Roman" w:hAnsi="Times New Roman"/>
          <w:sz w:val="20"/>
        </w:rPr>
        <w:t xml:space="preserve"> is the logical commercial outcome of unfettered access to genetic data in underwriting. In the </w:t>
      </w:r>
      <w:r w:rsidRPr="00B41F17">
        <w:rPr>
          <w:rFonts w:ascii="Times New Roman" w:hAnsi="Times New Roman"/>
          <w:sz w:val="20"/>
        </w:rPr>
        <w:lastRenderedPageBreak/>
        <w:t>United Kingdom, this tension has been managed through the voluntary Moratorium on Genetics and Insurance,</w:t>
      </w:r>
      <w:r w:rsidRPr="00B41F17">
        <w:rPr>
          <w:rStyle w:val="FootnoteReference"/>
          <w:rFonts w:ascii="Times New Roman" w:hAnsi="Times New Roman"/>
          <w:sz w:val="20"/>
        </w:rPr>
        <w:footnoteReference w:id="85"/>
      </w:r>
      <w:r w:rsidRPr="00B41F17">
        <w:rPr>
          <w:rFonts w:ascii="Times New Roman" w:hAnsi="Times New Roman"/>
          <w:sz w:val="20"/>
        </w:rPr>
        <w:t xml:space="preserve"> a voluntary arrangement between industry and government subject to periodic review, and the pace of genomic research, including the development of polygenic risk scores aggregating the predictive power of multiple genetic variants, may create commercial pressures upon the voluntary commitment that prove difficult to sustain.</w:t>
      </w:r>
    </w:p>
    <w:p w14:paraId="465CC60E"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In Australia, the Government accepted the Australian Law Reform Commission's recommendation that the Disability Discrimination Act 1992 (</w:t>
      </w:r>
      <w:proofErr w:type="spellStart"/>
      <w:r w:rsidRPr="00B41F17">
        <w:rPr>
          <w:rFonts w:ascii="Times New Roman" w:hAnsi="Times New Roman"/>
          <w:sz w:val="20"/>
        </w:rPr>
        <w:t>Cth</w:t>
      </w:r>
      <w:proofErr w:type="spellEnd"/>
      <w:r w:rsidRPr="00B41F17">
        <w:rPr>
          <w:rFonts w:ascii="Times New Roman" w:hAnsi="Times New Roman"/>
          <w:sz w:val="20"/>
        </w:rPr>
        <w:t>) be amended to prohibit the use of genetic information in insurance underwriting, reflecting a more statutory approach.</w:t>
      </w:r>
      <w:r w:rsidRPr="00B41F17">
        <w:rPr>
          <w:rStyle w:val="FootnoteReference"/>
          <w:rFonts w:ascii="Times New Roman" w:hAnsi="Times New Roman"/>
          <w:sz w:val="20"/>
        </w:rPr>
        <w:footnoteReference w:id="86"/>
      </w:r>
      <w:r w:rsidRPr="00B41F17">
        <w:rPr>
          <w:rFonts w:ascii="Times New Roman" w:hAnsi="Times New Roman"/>
          <w:sz w:val="20"/>
        </w:rPr>
        <w:t xml:space="preserve"> The epigenetic dimension adds further complexity. The first question that demands attention in any consideration of deploying epigenetic age estimators in life insurance underwriting is whether the testing has been scientifically validated and whether a proven correlation between biological age calculations and mortality risk exists in a form sufficient to justify its use in individual underwriting decisions.</w:t>
      </w:r>
      <w:r w:rsidRPr="00B41F17">
        <w:rPr>
          <w:rStyle w:val="FootnoteReference"/>
          <w:rFonts w:ascii="Times New Roman" w:hAnsi="Times New Roman"/>
          <w:sz w:val="20"/>
        </w:rPr>
        <w:footnoteReference w:id="87"/>
      </w:r>
      <w:r w:rsidRPr="00B41F17">
        <w:rPr>
          <w:rFonts w:ascii="Times New Roman" w:hAnsi="Times New Roman"/>
          <w:sz w:val="20"/>
        </w:rPr>
        <w:t xml:space="preserve"> Scientific validation remains incomplete and the correlations are probabilistic rather than determinative.</w:t>
      </w:r>
    </w:p>
    <w:p w14:paraId="7026EC16"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Even mainstream commentary has noted the tension: as </w:t>
      </w:r>
      <w:r w:rsidRPr="00B41F17">
        <w:rPr>
          <w:rStyle w:val="Emphasis"/>
          <w:rFonts w:ascii="Times New Roman" w:hAnsi="Times New Roman"/>
          <w:sz w:val="20"/>
        </w:rPr>
        <w:t>The Guardian</w:t>
      </w:r>
      <w:r w:rsidRPr="00B41F17">
        <w:rPr>
          <w:rFonts w:ascii="Times New Roman" w:hAnsi="Times New Roman"/>
          <w:sz w:val="20"/>
        </w:rPr>
        <w:t xml:space="preserve"> observed in a 2019 editorial on insurance and big data, the industry's foundation in risk pooling sits uneasily with technology that increasingly allows risk to be identified and separated out rather than shared.</w:t>
      </w:r>
      <w:r w:rsidRPr="00B41F17">
        <w:rPr>
          <w:rStyle w:val="FootnoteReference"/>
          <w:rFonts w:ascii="Times New Roman" w:hAnsi="Times New Roman"/>
          <w:sz w:val="20"/>
        </w:rPr>
        <w:footnoteReference w:id="88"/>
      </w:r>
      <w:r w:rsidRPr="00B41F17">
        <w:rPr>
          <w:rFonts w:ascii="Times New Roman" w:hAnsi="Times New Roman"/>
          <w:sz w:val="20"/>
        </w:rPr>
        <w:t xml:space="preserve"> The information asymmetry that the traditional insurance contract sought to address through disclosure requirements was an asymmetry in which the insured held superior knowledge. The asymmetry created by genomic data and epigenetic analysis is one in which the insurer may hold superior predictive knowledge about the insured's own future health. The legal frameworks governing disclosure, privacy and non-discrimination were not designed for that configuration and will require systematic reform to address it.</w:t>
      </w:r>
    </w:p>
    <w:p w14:paraId="203C0281" w14:textId="77777777" w:rsidR="00EB5F70" w:rsidRPr="00B41F17" w:rsidRDefault="00EB5F70" w:rsidP="00B41F17">
      <w:pPr>
        <w:pStyle w:val="Heading1"/>
        <w:spacing w:line="360" w:lineRule="auto"/>
        <w:rPr>
          <w:rFonts w:ascii="Times New Roman" w:hAnsi="Times New Roman"/>
          <w:b/>
          <w:color w:val="auto"/>
          <w:sz w:val="20"/>
        </w:rPr>
      </w:pPr>
      <w:r w:rsidRPr="00B41F17">
        <w:rPr>
          <w:rFonts w:ascii="Times New Roman" w:hAnsi="Times New Roman"/>
          <w:b/>
          <w:color w:val="auto"/>
          <w:sz w:val="20"/>
        </w:rPr>
        <w:lastRenderedPageBreak/>
        <w:t>8. Conclusion</w:t>
      </w:r>
    </w:p>
    <w:p w14:paraId="3938C1BE"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argument of this article may be stated directly. The information asymmetry principle that has underpinned insurance contract law since the eighteenth century is being systematically eroded by the convergence of artificial intelligence, big data analytics, real-time sensor technology, digital twin modelling, parametric structures and genomic science. In some domains the asymmetry is being neutralised; in others it is being reversed. The legal frameworks constructed upon the old asymmetry are, in consequence, increasingly ill-adapted to the world in which the insurance industry now operates.</w:t>
      </w:r>
    </w:p>
    <w:p w14:paraId="516D5650"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historical analysis in Section 2 demonstrates that this is not the first time technological disruption has outpaced formal legal and regulatory frameworks. The industry has, from its origins, functioned as a mechanism of private governance in advance of statute, operating through governance by conditionality, governance by absence, and — as California now demonstrates — creating the conditions in which governance by foreclosure may occur where regulatory misalignment prevents the market from performing either of its historical adaptive functions. Common law courts have provided the analogical bridge between established principle and novel risk categories. The mechanism has worked across the transitions from sail to steam, from horse to motor, from physical commerce to digital.</w:t>
      </w:r>
    </w:p>
    <w:p w14:paraId="6A950F0E"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present disruption differs from those predecessors in a specific and structurally important respect. Previous technological waves created new categories of risk to which the existing informational architecture of the insurance relationship was applied. The technologies examined in this article are disrupting that framework rather than simply extending it. When the insurer's digital twin generates a more accurate real-time model of an insured property than the insured could describe, when the parametric insurer prices a risk entirely from objective sensor data without reference to the insured's account, and when the genomic underwriter predicts the insured's future health with greater accuracy than the insured possesses, the foundational premise of the disclosure doctrine is not merely under pressure. It is inverted. The common law can adapt the content of doctrine whilst its foundational premises remain stable. It is significantly less well-equipped to address a situation in which those premises are themselves reversed.</w:t>
      </w:r>
    </w:p>
    <w:p w14:paraId="736F7DAD" w14:textId="77777777"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The California wildfire case study, examined in Section 5.3, illustrates with particular clarity what occurs when regulatory design disregards this analytical point. A statutory framework constraining the use of forward-looking catastrophe models in the name of consumer protection produced, across three decades, the progressive withdrawal of private insurance capacity, the unchecked growth of an undercapitalised insurer of last resort, and ultimately the socialisation of catastrophic climate risk across an entire population. Arnold-Dwyer's argument that insurers can function as climate action enablers, and Brook's and Lawrence's case for a more robust and joined-up policy and regulatory response, both require the precondition of frameworks that permit accurate forward-looking risk pricing: where regulatory design forecloses that capacity, the enabling function of insurance cannot operate and the governance-by-foreclosure outcome that California experienced becomes the predictable result.</w:t>
      </w:r>
    </w:p>
    <w:p w14:paraId="17353DC7" w14:textId="7545DDEC" w:rsidR="00EB5F70" w:rsidRPr="00B41F17" w:rsidRDefault="00EB5F70" w:rsidP="00B41F17">
      <w:pPr>
        <w:spacing w:after="220" w:line="360" w:lineRule="auto"/>
        <w:jc w:val="both"/>
        <w:rPr>
          <w:rFonts w:ascii="Times New Roman" w:hAnsi="Times New Roman"/>
          <w:sz w:val="20"/>
        </w:rPr>
      </w:pPr>
      <w:r w:rsidRPr="00B41F17">
        <w:rPr>
          <w:rFonts w:ascii="Times New Roman" w:hAnsi="Times New Roman"/>
          <w:sz w:val="20"/>
        </w:rPr>
        <w:t xml:space="preserve">The shape of the required legal response is more clearly defined in its objectives than in its detail. The disclosure regime will need to be reconsidered in light of insurers' growing capacity to obtain risk information independently of the insured's voluntary provision of it. A mutual duty of transparency, in which both parties are required to share risk-relevant information they hold that the other party does not, may be a more appropriate framework for </w:t>
      </w:r>
      <w:r w:rsidRPr="00B41F17">
        <w:rPr>
          <w:rFonts w:ascii="Times New Roman" w:hAnsi="Times New Roman"/>
          <w:sz w:val="20"/>
        </w:rPr>
        <w:lastRenderedPageBreak/>
        <w:t>the data-rich insurance relationship than the unidirectional disclosure obligation that the 2012 and 2015 Acts refined but did not reconceptualise. The parametric insurance market requires a clear regulatory classification that resolves the insurable interest question and provides the legal certainty necessary for product development and consumer confidence: see Arnold-Dwyer and Lawrence and others for the leading doctrinal and practical analyses.</w:t>
      </w:r>
      <w:r w:rsidR="009E1B2B" w:rsidRPr="00B41F17">
        <w:rPr>
          <w:rStyle w:val="FootnoteReference"/>
          <w:rFonts w:ascii="Times New Roman" w:hAnsi="Times New Roman"/>
          <w:sz w:val="20"/>
        </w:rPr>
        <w:footnoteReference w:id="89"/>
      </w:r>
      <w:r w:rsidRPr="00B41F17">
        <w:rPr>
          <w:rFonts w:ascii="Times New Roman" w:hAnsi="Times New Roman"/>
          <w:sz w:val="20"/>
        </w:rPr>
        <w:t xml:space="preserve"> Digital twin-driven underwriting requires governance frameworks that ensure the explainability, fairness and transparency of AI-driven risk assessments, consistent with the FCA's Consumer Duty and the requirements of the EU AI Act.</w:t>
      </w:r>
      <w:r w:rsidR="009E1B2B" w:rsidRPr="00B41F17">
        <w:rPr>
          <w:rStyle w:val="FootnoteReference"/>
          <w:rFonts w:ascii="Times New Roman" w:hAnsi="Times New Roman"/>
          <w:sz w:val="20"/>
        </w:rPr>
        <w:footnoteReference w:id="90"/>
      </w:r>
    </w:p>
    <w:p w14:paraId="47B326E5" w14:textId="77777777" w:rsidR="007B34E3" w:rsidRPr="00B41F17" w:rsidRDefault="007B34E3" w:rsidP="00B41F17">
      <w:pPr>
        <w:spacing w:after="220" w:line="360" w:lineRule="auto"/>
        <w:jc w:val="both"/>
        <w:rPr>
          <w:rFonts w:ascii="Times New Roman" w:hAnsi="Times New Roman"/>
          <w:sz w:val="20"/>
        </w:rPr>
      </w:pPr>
      <w:r w:rsidRPr="00B41F17">
        <w:rPr>
          <w:rFonts w:ascii="Times New Roman" w:hAnsi="Times New Roman"/>
          <w:sz w:val="20"/>
        </w:rPr>
        <w:t>The governance-by-absence function that the insurance market currently performs in relation to AI risk, holding the risk class at arm's length whilst the technology matures and regulatory frameworks develop, has a distinguished historical precedent. It will in due course transition towards governance by conditionality as market experience and regulatory clarity accumulate. What the present moment requires is recognition that this transition is unlikely to occur at a pace consistent with the speed of technological deployment, and that the informational inversion already under way cannot wait for the normal sequencing of market development followed by legislative response to run its course.</w:t>
      </w:r>
    </w:p>
    <w:p w14:paraId="3EE7F0A4" w14:textId="77777777" w:rsidR="007B34E3" w:rsidRPr="00B41F17" w:rsidRDefault="007B34E3" w:rsidP="00B41F17">
      <w:pPr>
        <w:spacing w:after="220" w:line="360" w:lineRule="auto"/>
        <w:jc w:val="both"/>
        <w:rPr>
          <w:rFonts w:ascii="Times New Roman" w:hAnsi="Times New Roman"/>
          <w:sz w:val="20"/>
        </w:rPr>
      </w:pPr>
      <w:r w:rsidRPr="00B41F17">
        <w:rPr>
          <w:rFonts w:ascii="Times New Roman" w:hAnsi="Times New Roman"/>
          <w:sz w:val="20"/>
        </w:rPr>
        <w:t>The reform agenda has a further dimension that deserves emphasis. The informational inversion documented in this article does not affect all participants in the insurance market equally. It is most advanced in commercial and high-value property sectors. It is least advanced in consumer markets, where the asymmetry of insurer over insured information may be developing without a corresponding development in the consumer's awareness or legal protection. Ensuring that the legal framework developing around these technologies provides adequate protection for the consumer as distinct from the commercially sophisticated insured is an objective that the reforms of 2012 and 2015 addressed in the traditional disclosure context and that the next generation of reform will need to address in the context of insurer-led data collection and analysis.</w:t>
      </w:r>
    </w:p>
    <w:p w14:paraId="63078810" w14:textId="77777777" w:rsidR="007B34E3" w:rsidRPr="00EB5F70" w:rsidRDefault="007B34E3" w:rsidP="007B34E3">
      <w:pPr>
        <w:spacing w:after="220" w:line="360" w:lineRule="auto"/>
        <w:jc w:val="both"/>
        <w:rPr>
          <w:rFonts w:ascii="Times New Roman" w:hAnsi="Times New Roman" w:cs="Times New Roman"/>
          <w:sz w:val="20"/>
          <w:szCs w:val="20"/>
        </w:rPr>
      </w:pPr>
      <w:r w:rsidRPr="00B41F17">
        <w:rPr>
          <w:rFonts w:ascii="Times New Roman" w:hAnsi="Times New Roman"/>
          <w:sz w:val="20"/>
        </w:rPr>
        <w:t>The watershed does not occur at a single moment. The informational architecture of insurance is being reconfigured incrementally, through countless product innovations, regulatory decisions and technological deployments. The task of insurance law is to ensure that the principles it embodies, fairness, transparency, proportionality and the genuine transfer of risk, survive that reconfiguration intact.</w:t>
      </w:r>
    </w:p>
    <w:p w14:paraId="32FBA867" w14:textId="77777777" w:rsidR="007B34E3" w:rsidRPr="00EB5F70" w:rsidRDefault="007B34E3" w:rsidP="007B34E3">
      <w:pPr>
        <w:spacing w:line="360" w:lineRule="auto"/>
        <w:jc w:val="both"/>
        <w:rPr>
          <w:rFonts w:ascii="Times New Roman" w:hAnsi="Times New Roman" w:cs="Times New Roman"/>
          <w:sz w:val="20"/>
          <w:szCs w:val="20"/>
        </w:rPr>
      </w:pPr>
    </w:p>
    <w:p w14:paraId="41856D98" w14:textId="77777777" w:rsidR="007B34E3" w:rsidRPr="00B41F17" w:rsidRDefault="007B34E3" w:rsidP="00B41F17">
      <w:pPr>
        <w:spacing w:after="220" w:line="360" w:lineRule="auto"/>
        <w:jc w:val="both"/>
        <w:rPr>
          <w:rFonts w:ascii="Times New Roman" w:hAnsi="Times New Roman"/>
          <w:sz w:val="20"/>
        </w:rPr>
      </w:pPr>
    </w:p>
    <w:sectPr w:rsidR="007B34E3" w:rsidRPr="00B41F17" w:rsidSect="00B41F1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D0716" w14:textId="77777777" w:rsidR="00AC6B83" w:rsidRDefault="00AC6B83" w:rsidP="00B41F17">
      <w:pPr>
        <w:spacing w:after="0" w:line="240" w:lineRule="auto"/>
      </w:pPr>
      <w:r>
        <w:separator/>
      </w:r>
    </w:p>
  </w:endnote>
  <w:endnote w:type="continuationSeparator" w:id="0">
    <w:p w14:paraId="6D06635D" w14:textId="77777777" w:rsidR="00AC6B83" w:rsidRDefault="00AC6B83" w:rsidP="00B4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825D" w14:textId="77777777" w:rsidR="000170FB" w:rsidRDefault="00017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4982E" w14:textId="77777777" w:rsidR="00AC6B83" w:rsidRDefault="00AC6B83" w:rsidP="00B41F17">
      <w:pPr>
        <w:spacing w:after="0" w:line="240" w:lineRule="auto"/>
      </w:pPr>
      <w:r>
        <w:separator/>
      </w:r>
    </w:p>
  </w:footnote>
  <w:footnote w:type="continuationSeparator" w:id="0">
    <w:p w14:paraId="3B9A1C21" w14:textId="77777777" w:rsidR="00AC6B83" w:rsidRDefault="00AC6B83" w:rsidP="00B41F17">
      <w:pPr>
        <w:spacing w:after="0" w:line="240" w:lineRule="auto"/>
      </w:pPr>
      <w:r>
        <w:continuationSeparator/>
      </w:r>
    </w:p>
  </w:footnote>
  <w:footnote w:id="1">
    <w:p w14:paraId="124CDF31" w14:textId="73426CF6" w:rsidR="00EB5F70" w:rsidRPr="00EB5F70" w:rsidRDefault="00EB5F70" w:rsidP="00EB5F70">
      <w:pPr>
        <w:spacing w:after="80"/>
        <w:rPr>
          <w:rFonts w:ascii="Times New Roman" w:hAnsi="Times New Roman" w:cs="Times New Roman"/>
          <w:sz w:val="20"/>
          <w:szCs w:val="20"/>
        </w:rPr>
      </w:pPr>
      <w:r w:rsidRPr="00EB5F70">
        <w:rPr>
          <w:rFonts w:ascii="Times New Roman" w:hAnsi="Times New Roman" w:cs="Times New Roman"/>
          <w:sz w:val="20"/>
          <w:szCs w:val="20"/>
        </w:rPr>
        <w:t>*</w:t>
      </w:r>
      <w:r w:rsidRPr="00EB5F70">
        <w:t xml:space="preserve"> </w:t>
      </w:r>
      <w:r w:rsidRPr="00EB5F70">
        <w:rPr>
          <w:rFonts w:ascii="Times New Roman" w:hAnsi="Times New Roman" w:cs="Times New Roman"/>
          <w:sz w:val="20"/>
          <w:szCs w:val="20"/>
        </w:rPr>
        <w:t>Professor of Commercial Law, Queensland University of Technology, Centre for Future Enterprise, PhD UQ, JD Cornell, LLM Monash); Dr Anthony Tarr (PhD, Cambridge, PhD, Canterbury, LLM Cambridge), Senior Consultant HFW.</w:t>
      </w:r>
    </w:p>
    <w:p w14:paraId="286046B4" w14:textId="5F2F9DC8" w:rsidR="00EB5F70" w:rsidRPr="00B41F17" w:rsidRDefault="00EB5F70" w:rsidP="00EB5F70">
      <w:pPr>
        <w:spacing w:after="80"/>
        <w:rPr>
          <w:rFonts w:ascii="Times New Roman" w:hAnsi="Times New Roman"/>
          <w:sz w:val="20"/>
          <w:lang w:val="de-DE"/>
        </w:rPr>
      </w:pPr>
      <w:r w:rsidRPr="00EB5F70">
        <w:rPr>
          <w:rStyle w:val="FootnoteReference"/>
          <w:rFonts w:ascii="Times New Roman" w:hAnsi="Times New Roman" w:cs="Times New Roman"/>
          <w:sz w:val="20"/>
          <w:szCs w:val="20"/>
        </w:rPr>
        <w:footnoteRef/>
      </w:r>
      <w:r>
        <w:rPr>
          <w:rFonts w:ascii="Times New Roman" w:hAnsi="Times New Roman" w:cs="Times New Roman"/>
          <w:sz w:val="20"/>
          <w:szCs w:val="20"/>
          <w:lang w:val="de-DE"/>
        </w:rPr>
        <w:t xml:space="preserve"> </w:t>
      </w:r>
      <w:r w:rsidRPr="00B41F17">
        <w:rPr>
          <w:rFonts w:ascii="Times New Roman" w:hAnsi="Times New Roman"/>
          <w:i/>
          <w:sz w:val="20"/>
          <w:lang w:val="de-DE"/>
        </w:rPr>
        <w:t>Carter v Boehm</w:t>
      </w:r>
      <w:r w:rsidRPr="00B41F17">
        <w:rPr>
          <w:rFonts w:ascii="Times New Roman" w:hAnsi="Times New Roman"/>
          <w:sz w:val="20"/>
          <w:lang w:val="de-DE"/>
        </w:rPr>
        <w:t xml:space="preserve"> (1766) 3 Burr 1905, 97 ER 1162.</w:t>
      </w:r>
    </w:p>
  </w:footnote>
  <w:footnote w:id="2">
    <w:p w14:paraId="10852882" w14:textId="565B0DCE" w:rsidR="00EB5F70" w:rsidRPr="00B41F17" w:rsidRDefault="00EB5F70" w:rsidP="00EB5F70">
      <w:pPr>
        <w:spacing w:after="80"/>
        <w:rPr>
          <w:rFonts w:ascii="Times New Roman" w:hAnsi="Times New Roman"/>
          <w:sz w:val="20"/>
        </w:rPr>
      </w:pPr>
      <w:r w:rsidRPr="00B41F17">
        <w:rPr>
          <w:rFonts w:ascii="Times New Roman" w:hAnsi="Times New Roman" w:cs="Times New Roman"/>
          <w:sz w:val="20"/>
          <w:szCs w:val="20"/>
          <w:lang w:val="de-CH"/>
        </w:rPr>
        <w:t xml:space="preserve"> </w:t>
      </w:r>
      <w:r w:rsidRPr="00EB5F70">
        <w:rPr>
          <w:rStyle w:val="FootnoteReference"/>
          <w:rFonts w:ascii="Times New Roman" w:hAnsi="Times New Roman" w:cs="Times New Roman"/>
          <w:sz w:val="20"/>
          <w:szCs w:val="20"/>
        </w:rPr>
        <w:footnoteRef/>
      </w:r>
      <w:r w:rsidR="00B87777">
        <w:rPr>
          <w:rFonts w:ascii="Times New Roman" w:hAnsi="Times New Roman" w:cs="Times New Roman"/>
          <w:sz w:val="20"/>
          <w:szCs w:val="20"/>
        </w:rPr>
        <w:t xml:space="preserve"> </w:t>
      </w:r>
      <w:r w:rsidRPr="00B41F17">
        <w:rPr>
          <w:rFonts w:ascii="Times New Roman" w:hAnsi="Times New Roman"/>
          <w:sz w:val="20"/>
        </w:rPr>
        <w:t xml:space="preserve">See M D Chalmers, 'An Experiment in Codification' (1886) 2 LQR 125; M D Chalmers, 'Codification of Mercantile Law' (1903) 19 LQR 10, 11; R Merkin, </w:t>
      </w:r>
      <w:r w:rsidRPr="00B41F17">
        <w:rPr>
          <w:rStyle w:val="Emphasis"/>
          <w:rFonts w:ascii="Times New Roman" w:hAnsi="Times New Roman"/>
          <w:sz w:val="20"/>
        </w:rPr>
        <w:t>Marine Insurance: A Legal History</w:t>
      </w:r>
      <w:r w:rsidRPr="00B41F17">
        <w:rPr>
          <w:rFonts w:ascii="Times New Roman" w:hAnsi="Times New Roman"/>
          <w:sz w:val="20"/>
        </w:rPr>
        <w:t xml:space="preserve"> (Edward Elgar 2021).M A Clarke, </w:t>
      </w:r>
      <w:r w:rsidRPr="00B41F17">
        <w:rPr>
          <w:rStyle w:val="Emphasis"/>
          <w:rFonts w:ascii="Times New Roman" w:hAnsi="Times New Roman"/>
          <w:sz w:val="20"/>
        </w:rPr>
        <w:t>Policies and Perceptions of Insurance Law in the Twenty-First Century</w:t>
      </w:r>
      <w:r w:rsidRPr="00B41F17">
        <w:rPr>
          <w:rFonts w:ascii="Times New Roman" w:hAnsi="Times New Roman"/>
          <w:sz w:val="20"/>
        </w:rPr>
        <w:t xml:space="preserve"> (OUP 2005) </w:t>
      </w:r>
      <w:proofErr w:type="spellStart"/>
      <w:r w:rsidRPr="00B41F17">
        <w:rPr>
          <w:rFonts w:ascii="Times New Roman" w:hAnsi="Times New Roman"/>
          <w:sz w:val="20"/>
        </w:rPr>
        <w:t>ch</w:t>
      </w:r>
      <w:proofErr w:type="spellEnd"/>
      <w:r w:rsidRPr="00B41F17">
        <w:rPr>
          <w:rFonts w:ascii="Times New Roman" w:hAnsi="Times New Roman"/>
          <w:sz w:val="20"/>
        </w:rPr>
        <w:t xml:space="preserve"> 9.</w:t>
      </w:r>
    </w:p>
  </w:footnote>
  <w:footnote w:id="3">
    <w:p w14:paraId="5F6FB0C8" w14:textId="77777777" w:rsidR="00EB5F70" w:rsidRDefault="00EB5F70" w:rsidP="00EB5F70">
      <w:pPr>
        <w:pStyle w:val="FootnoteText"/>
      </w:pPr>
      <w:r w:rsidRPr="00B41F17">
        <w:rPr>
          <w:rStyle w:val="FootnoteReference"/>
          <w:rFonts w:eastAsiaTheme="majorEastAsia"/>
        </w:rPr>
        <w:footnoteRef/>
      </w:r>
      <w:r w:rsidRPr="00B41F17">
        <w:t xml:space="preserve"> R Pearson, </w:t>
      </w:r>
      <w:r w:rsidRPr="00B41F17">
        <w:rPr>
          <w:rStyle w:val="Emphasis"/>
        </w:rPr>
        <w:t>Insuring the Industrial Revolution: Fire Insurance in Great Britain, 1700–1850</w:t>
      </w:r>
      <w:r w:rsidRPr="00B41F17">
        <w:t xml:space="preserve"> (Ashgate 2004) </w:t>
      </w:r>
      <w:proofErr w:type="spellStart"/>
      <w:r w:rsidRPr="00B41F17">
        <w:t>chs</w:t>
      </w:r>
      <w:proofErr w:type="spellEnd"/>
      <w:r w:rsidRPr="00B41F17">
        <w:t xml:space="preserve"> 1–2; B Supple, </w:t>
      </w:r>
      <w:r w:rsidRPr="00B41F17">
        <w:rPr>
          <w:rStyle w:val="Emphasis"/>
        </w:rPr>
        <w:t>The Royal Exchange Assurance: A History of British Insurance, 1720–1970</w:t>
      </w:r>
      <w:r w:rsidRPr="00B41F17">
        <w:t xml:space="preserve"> (Cambridge UP 1970) </w:t>
      </w:r>
      <w:proofErr w:type="spellStart"/>
      <w:r w:rsidRPr="00B41F17">
        <w:t>ch</w:t>
      </w:r>
      <w:proofErr w:type="spellEnd"/>
      <w:r w:rsidRPr="00B41F17">
        <w:t xml:space="preserve"> 1. The Fire Office, established in 1680 by Nicholas Barbon, was the first English fire insurance enterprise and the originator of the fire mark system: Pearson, ibid, 19–23</w:t>
      </w:r>
    </w:p>
    <w:p w14:paraId="71EB6D11" w14:textId="77777777" w:rsidR="00B13C75" w:rsidRPr="00B41F17" w:rsidRDefault="00B13C75" w:rsidP="00EB5F70">
      <w:pPr>
        <w:pStyle w:val="FootnoteText"/>
        <w:rPr>
          <w:lang w:val="en-US"/>
        </w:rPr>
      </w:pPr>
    </w:p>
  </w:footnote>
  <w:footnote w:id="4">
    <w:p w14:paraId="5ADDD347" w14:textId="77777777"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Pr="00B41F17">
        <w:rPr>
          <w:rFonts w:ascii="Times New Roman" w:hAnsi="Times New Roman"/>
          <w:sz w:val="20"/>
        </w:rPr>
        <w:t xml:space="preserve">Robert Merkin and Johanna Hjalmarsson, </w:t>
      </w:r>
      <w:proofErr w:type="spellStart"/>
      <w:r w:rsidRPr="00B41F17">
        <w:rPr>
          <w:rFonts w:ascii="Times New Roman" w:hAnsi="Times New Roman"/>
          <w:i/>
          <w:sz w:val="20"/>
        </w:rPr>
        <w:t>Colinvaux's</w:t>
      </w:r>
      <w:proofErr w:type="spellEnd"/>
      <w:r w:rsidRPr="00B41F17">
        <w:rPr>
          <w:rFonts w:ascii="Times New Roman" w:hAnsi="Times New Roman"/>
          <w:i/>
          <w:sz w:val="20"/>
        </w:rPr>
        <w:t xml:space="preserve"> Law of Insurance</w:t>
      </w:r>
      <w:r w:rsidRPr="00B41F17">
        <w:rPr>
          <w:rFonts w:ascii="Times New Roman" w:hAnsi="Times New Roman"/>
          <w:sz w:val="20"/>
        </w:rPr>
        <w:t xml:space="preserve"> (13th ed, Sweet &amp; Maxwell 2024) para 1-030.</w:t>
      </w:r>
    </w:p>
  </w:footnote>
  <w:footnote w:id="5">
    <w:p w14:paraId="0AFF36D8" w14:textId="379A1E39"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B87777">
        <w:rPr>
          <w:rFonts w:ascii="Times New Roman" w:hAnsi="Times New Roman" w:cs="Times New Roman"/>
          <w:sz w:val="20"/>
          <w:szCs w:val="20"/>
        </w:rPr>
        <w:t xml:space="preserve"> </w:t>
      </w:r>
      <w:r w:rsidRPr="00B41F17">
        <w:rPr>
          <w:rFonts w:ascii="Times New Roman" w:hAnsi="Times New Roman"/>
          <w:sz w:val="20"/>
        </w:rPr>
        <w:t xml:space="preserve">Tom Baker and Anja Shortland, 'The Government Behind Insurance Governance: Lessons for Ransomware' (2023) 17 Regulation and Governance 290, 293–294; see also Richard Ericson, Aaron Doyle and Dean Barry, </w:t>
      </w:r>
      <w:r w:rsidRPr="00B41F17">
        <w:rPr>
          <w:rFonts w:ascii="Times New Roman" w:hAnsi="Times New Roman"/>
          <w:i/>
          <w:sz w:val="20"/>
        </w:rPr>
        <w:t>Insurance as Governance</w:t>
      </w:r>
      <w:r w:rsidRPr="00B41F17">
        <w:rPr>
          <w:rFonts w:ascii="Times New Roman" w:hAnsi="Times New Roman"/>
          <w:sz w:val="20"/>
        </w:rPr>
        <w:t xml:space="preserve"> (University of Toronto Press 2003) </w:t>
      </w:r>
      <w:proofErr w:type="spellStart"/>
      <w:r w:rsidRPr="00B41F17">
        <w:rPr>
          <w:rFonts w:ascii="Times New Roman" w:hAnsi="Times New Roman"/>
          <w:sz w:val="20"/>
        </w:rPr>
        <w:t>ch</w:t>
      </w:r>
      <w:proofErr w:type="spellEnd"/>
      <w:r w:rsidRPr="00B41F17">
        <w:rPr>
          <w:rFonts w:ascii="Times New Roman" w:hAnsi="Times New Roman"/>
          <w:sz w:val="20"/>
        </w:rPr>
        <w:t xml:space="preserve"> 2.</w:t>
      </w:r>
    </w:p>
  </w:footnote>
  <w:footnote w:id="6">
    <w:p w14:paraId="7BE7AD18" w14:textId="7E2D7C29" w:rsidR="00EB5F70" w:rsidRDefault="00EB5F70" w:rsidP="00EB5F70">
      <w:pPr>
        <w:pStyle w:val="FootnoteText"/>
        <w:rPr>
          <w:lang w:val="en-US"/>
        </w:rPr>
      </w:pPr>
      <w:r w:rsidRPr="00B41F17">
        <w:rPr>
          <w:rStyle w:val="FootnoteReference"/>
          <w:rFonts w:eastAsiaTheme="majorEastAsia"/>
        </w:rPr>
        <w:footnoteRef/>
      </w:r>
      <w:r w:rsidRPr="00B41F17">
        <w:t xml:space="preserve"> </w:t>
      </w:r>
      <w:r w:rsidRPr="00B41F17">
        <w:rPr>
          <w:lang w:val="en-US"/>
        </w:rPr>
        <w:t xml:space="preserve">Generally, see Professor Kenneth S Abraham, “Regulation by Insurances” (2025) 137 BILA Journal </w:t>
      </w:r>
      <w:r w:rsidRPr="00F972B6">
        <w:rPr>
          <w:lang w:val="en-US"/>
        </w:rPr>
        <w:t>2</w:t>
      </w:r>
      <w:r w:rsidRPr="00B41F17">
        <w:rPr>
          <w:lang w:val="en-US"/>
        </w:rPr>
        <w:t>. In a speech at the Lloyds Old Library, Prof. Abrahams analyses the ways in which insurance and insurance law act as a gatekeeper to certain activities (e.g., driving, homeowning, handling of hazardous chemicals) and how the devices insurance uses to contract moral hazard (e.g., risk-based pricing, partial insurance, leverage exclusions) do and do not function effectively.</w:t>
      </w:r>
    </w:p>
    <w:p w14:paraId="4F9C116F" w14:textId="77777777" w:rsidR="00B13C75" w:rsidRPr="00B41F17" w:rsidRDefault="00B13C75" w:rsidP="00EB5F70">
      <w:pPr>
        <w:pStyle w:val="FootnoteText"/>
        <w:rPr>
          <w:lang w:val="en-US"/>
        </w:rPr>
      </w:pPr>
    </w:p>
  </w:footnote>
  <w:footnote w:id="7">
    <w:p w14:paraId="01E86D81" w14:textId="2E86483A" w:rsidR="00EB5F70" w:rsidRPr="00B41F17" w:rsidRDefault="00EB5F70" w:rsidP="00EB5F70">
      <w:pPr>
        <w:spacing w:after="80"/>
        <w:rPr>
          <w:rFonts w:ascii="Times New Roman" w:hAnsi="Times New Roman"/>
          <w:sz w:val="20"/>
          <w:lang w:val="fr-FR"/>
        </w:rPr>
      </w:pPr>
      <w:r w:rsidRPr="00B41F17">
        <w:rPr>
          <w:rStyle w:val="FootnoteReference"/>
          <w:rFonts w:ascii="Times New Roman" w:hAnsi="Times New Roman"/>
          <w:sz w:val="20"/>
        </w:rPr>
        <w:footnoteRef/>
      </w:r>
      <w:r w:rsidR="00B87777">
        <w:rPr>
          <w:rFonts w:ascii="Times New Roman" w:hAnsi="Times New Roman" w:cs="Times New Roman"/>
          <w:sz w:val="20"/>
          <w:szCs w:val="20"/>
          <w:lang w:val="fr-FR"/>
        </w:rPr>
        <w:t xml:space="preserve"> </w:t>
      </w:r>
      <w:r w:rsidRPr="00B41F17">
        <w:rPr>
          <w:rFonts w:ascii="Times New Roman" w:hAnsi="Times New Roman"/>
          <w:i/>
          <w:sz w:val="20"/>
          <w:lang w:val="fr-FR"/>
        </w:rPr>
        <w:t>Donoghue v Stevenson</w:t>
      </w:r>
      <w:r w:rsidRPr="00B41F17">
        <w:rPr>
          <w:rFonts w:ascii="Times New Roman" w:hAnsi="Times New Roman"/>
          <w:sz w:val="20"/>
          <w:lang w:val="fr-FR"/>
        </w:rPr>
        <w:t xml:space="preserve"> [1932] AC 562 (HL).</w:t>
      </w:r>
    </w:p>
  </w:footnote>
  <w:footnote w:id="8">
    <w:p w14:paraId="4CBDA409" w14:textId="54134BC7" w:rsidR="00EB5F70" w:rsidRPr="00B41F17" w:rsidRDefault="00EB5F70" w:rsidP="00EB5F70">
      <w:pPr>
        <w:pStyle w:val="FootnoteText"/>
      </w:pPr>
      <w:r w:rsidRPr="00B41F17">
        <w:rPr>
          <w:rStyle w:val="FootnoteReference"/>
          <w:rFonts w:eastAsiaTheme="majorEastAsia"/>
        </w:rPr>
        <w:footnoteRef/>
      </w:r>
      <w:r w:rsidRPr="00B41F17">
        <w:t xml:space="preserve"> Alred Henry Ruegg, “A Treatise upon the Employers Liability Act 1880 (43&amp; 44Vict.cap.42) London, Butterworths, 1882. </w:t>
      </w:r>
      <w:r w:rsidR="00B41F17">
        <w:t>&lt;</w:t>
      </w:r>
      <w:hyperlink r:id="rId1" w:history="1">
        <w:r w:rsidRPr="00B41F17">
          <w:rPr>
            <w:rStyle w:val="Hyperlink"/>
          </w:rPr>
          <w:t>https://sclqld.org.au/catalogue/records/52579</w:t>
        </w:r>
      </w:hyperlink>
      <w:r w:rsidR="00B41F17">
        <w:t>&gt; accessed March 2026.</w:t>
      </w:r>
      <w:r w:rsidR="00B87777">
        <w:t xml:space="preserve"> </w:t>
      </w:r>
    </w:p>
  </w:footnote>
  <w:footnote w:id="9">
    <w:p w14:paraId="224AD3A0" w14:textId="74046F8C"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B87777">
        <w:rPr>
          <w:rFonts w:ascii="Times New Roman" w:hAnsi="Times New Roman" w:cs="Times New Roman"/>
          <w:sz w:val="20"/>
          <w:szCs w:val="20"/>
        </w:rPr>
        <w:t xml:space="preserve"> </w:t>
      </w:r>
      <w:r w:rsidRPr="00B41F17">
        <w:rPr>
          <w:rFonts w:ascii="Times New Roman" w:hAnsi="Times New Roman"/>
          <w:i/>
          <w:sz w:val="20"/>
        </w:rPr>
        <w:t>Pan Atlantic Insurance Co v Pine Top Insurance Co</w:t>
      </w:r>
      <w:r w:rsidRPr="00B41F17">
        <w:rPr>
          <w:rFonts w:ascii="Times New Roman" w:hAnsi="Times New Roman"/>
          <w:sz w:val="20"/>
        </w:rPr>
        <w:t xml:space="preserve"> [1994] 3 All ER 581 (HL); </w:t>
      </w:r>
      <w:r w:rsidRPr="00B41F17">
        <w:rPr>
          <w:rFonts w:ascii="Times New Roman" w:hAnsi="Times New Roman"/>
          <w:i/>
          <w:sz w:val="20"/>
        </w:rPr>
        <w:t>Container Transport International Inc v Oceanus Mutual Underwriting Association (Bermuda) Ltd</w:t>
      </w:r>
      <w:r w:rsidRPr="00B41F17">
        <w:rPr>
          <w:rFonts w:ascii="Times New Roman" w:hAnsi="Times New Roman"/>
          <w:sz w:val="20"/>
        </w:rPr>
        <w:t xml:space="preserve"> [1984] 1 Lloyd's Rep 476 (CA). See generally Birds and others, </w:t>
      </w:r>
      <w:r w:rsidRPr="00B41F17">
        <w:rPr>
          <w:rFonts w:ascii="Times New Roman" w:hAnsi="Times New Roman"/>
          <w:i/>
          <w:sz w:val="20"/>
        </w:rPr>
        <w:t>MacGillivray on Insurance Law</w:t>
      </w:r>
      <w:r w:rsidRPr="00B41F17">
        <w:rPr>
          <w:rFonts w:ascii="Times New Roman" w:hAnsi="Times New Roman"/>
          <w:sz w:val="20"/>
        </w:rPr>
        <w:t xml:space="preserve"> (</w:t>
      </w:r>
      <w:r w:rsidRPr="00EB5F70">
        <w:rPr>
          <w:rFonts w:ascii="Times New Roman" w:hAnsi="Times New Roman" w:cs="Times New Roman"/>
          <w:sz w:val="20"/>
          <w:szCs w:val="20"/>
        </w:rPr>
        <w:t>1</w:t>
      </w:r>
      <w:r w:rsidR="00C95328">
        <w:rPr>
          <w:rFonts w:ascii="Times New Roman" w:hAnsi="Times New Roman" w:cs="Times New Roman"/>
          <w:sz w:val="20"/>
          <w:szCs w:val="20"/>
        </w:rPr>
        <w:t>6</w:t>
      </w:r>
      <w:r w:rsidRPr="00EB5F70">
        <w:rPr>
          <w:rFonts w:ascii="Times New Roman" w:hAnsi="Times New Roman" w:cs="Times New Roman"/>
          <w:sz w:val="20"/>
          <w:szCs w:val="20"/>
        </w:rPr>
        <w:t>th</w:t>
      </w:r>
      <w:r w:rsidRPr="00B41F17">
        <w:rPr>
          <w:rFonts w:ascii="Times New Roman" w:hAnsi="Times New Roman"/>
          <w:sz w:val="20"/>
        </w:rPr>
        <w:t xml:space="preserve"> ed, Sweet &amp; Maxwell </w:t>
      </w:r>
      <w:r w:rsidRPr="00EB5F70">
        <w:rPr>
          <w:rFonts w:ascii="Times New Roman" w:hAnsi="Times New Roman" w:cs="Times New Roman"/>
          <w:sz w:val="20"/>
          <w:szCs w:val="20"/>
        </w:rPr>
        <w:t>202</w:t>
      </w:r>
      <w:r w:rsidR="00C95328">
        <w:rPr>
          <w:rFonts w:ascii="Times New Roman" w:hAnsi="Times New Roman" w:cs="Times New Roman"/>
          <w:sz w:val="20"/>
          <w:szCs w:val="20"/>
        </w:rPr>
        <w:t>5</w:t>
      </w:r>
      <w:r w:rsidRPr="00B41F17">
        <w:rPr>
          <w:rFonts w:ascii="Times New Roman" w:hAnsi="Times New Roman"/>
          <w:sz w:val="20"/>
        </w:rPr>
        <w:t xml:space="preserve">) </w:t>
      </w:r>
      <w:proofErr w:type="spellStart"/>
      <w:r w:rsidRPr="00B41F17">
        <w:rPr>
          <w:rFonts w:ascii="Times New Roman" w:hAnsi="Times New Roman"/>
          <w:sz w:val="20"/>
        </w:rPr>
        <w:t>ch</w:t>
      </w:r>
      <w:proofErr w:type="spellEnd"/>
      <w:r w:rsidRPr="00B41F17">
        <w:rPr>
          <w:rFonts w:ascii="Times New Roman" w:hAnsi="Times New Roman"/>
          <w:sz w:val="20"/>
        </w:rPr>
        <w:t xml:space="preserve"> 17.</w:t>
      </w:r>
    </w:p>
  </w:footnote>
  <w:footnote w:id="10">
    <w:p w14:paraId="2BA57040" w14:textId="03A50CCA"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274976">
        <w:rPr>
          <w:rFonts w:ascii="Times New Roman" w:hAnsi="Times New Roman" w:cs="Times New Roman"/>
          <w:sz w:val="20"/>
          <w:szCs w:val="20"/>
        </w:rPr>
        <w:t xml:space="preserve"> </w:t>
      </w:r>
      <w:r w:rsidRPr="00B41F17">
        <w:rPr>
          <w:rFonts w:ascii="Times New Roman" w:hAnsi="Times New Roman"/>
          <w:sz w:val="20"/>
        </w:rPr>
        <w:t>Consumer Insurance (Disclosure and Representations) Act 2012, s 2.</w:t>
      </w:r>
    </w:p>
  </w:footnote>
  <w:footnote w:id="11">
    <w:p w14:paraId="04D019E6" w14:textId="6DE84CFD"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274976">
        <w:rPr>
          <w:rFonts w:ascii="Times New Roman" w:hAnsi="Times New Roman" w:cs="Times New Roman"/>
          <w:sz w:val="20"/>
          <w:szCs w:val="20"/>
        </w:rPr>
        <w:t xml:space="preserve"> </w:t>
      </w:r>
      <w:r w:rsidRPr="00B41F17">
        <w:rPr>
          <w:rFonts w:ascii="Times New Roman" w:hAnsi="Times New Roman"/>
          <w:sz w:val="20"/>
        </w:rPr>
        <w:t>Insurance Act 2015, ss 3–8.</w:t>
      </w:r>
    </w:p>
  </w:footnote>
  <w:footnote w:id="12">
    <w:p w14:paraId="3E7E4D71" w14:textId="77777777" w:rsidR="00EB5F70" w:rsidRDefault="00EB5F70" w:rsidP="00EB5F70">
      <w:pPr>
        <w:pStyle w:val="FootnoteText"/>
      </w:pPr>
      <w:r w:rsidRPr="00B41F17">
        <w:rPr>
          <w:rStyle w:val="FootnoteReference"/>
          <w:rFonts w:eastAsiaTheme="majorEastAsia"/>
        </w:rPr>
        <w:footnoteRef/>
      </w:r>
      <w:r w:rsidRPr="00B41F17">
        <w:t xml:space="preserve"> Division 1A, s.20B.</w:t>
      </w:r>
    </w:p>
    <w:p w14:paraId="50AC0BDB" w14:textId="77777777" w:rsidR="00A20278" w:rsidRPr="00B41F17" w:rsidRDefault="00A20278" w:rsidP="00EB5F70">
      <w:pPr>
        <w:pStyle w:val="FootnoteText"/>
      </w:pPr>
    </w:p>
  </w:footnote>
  <w:footnote w:id="13">
    <w:p w14:paraId="0E6DCD6F" w14:textId="6938381B" w:rsidR="00EB5F70" w:rsidRDefault="00EB5F70" w:rsidP="00EB5F70">
      <w:pPr>
        <w:pStyle w:val="FootnoteText"/>
        <w:rPr>
          <w:lang w:val="en-US"/>
        </w:rPr>
      </w:pPr>
      <w:r w:rsidRPr="00B41F17">
        <w:rPr>
          <w:rStyle w:val="FootnoteReference"/>
          <w:rFonts w:eastAsiaTheme="majorEastAsia"/>
        </w:rPr>
        <w:footnoteRef/>
      </w:r>
      <w:r w:rsidRPr="00B41F17">
        <w:t xml:space="preserve"> See s.13.Generally see </w:t>
      </w:r>
      <w:r w:rsidRPr="00B41F17">
        <w:rPr>
          <w:lang w:val="en-US"/>
        </w:rPr>
        <w:t xml:space="preserve">Professor Robert Merkin, KC, “Insurance Law Reform in New Zealand” (2025) 137 BILA Journal </w:t>
      </w:r>
      <w:r w:rsidR="00274976" w:rsidRPr="00274976">
        <w:rPr>
          <w:lang w:val="en-US"/>
        </w:rPr>
        <w:t>8</w:t>
      </w:r>
      <w:r w:rsidRPr="00274976">
        <w:rPr>
          <w:lang w:val="en-US"/>
        </w:rPr>
        <w:t>.</w:t>
      </w:r>
    </w:p>
    <w:p w14:paraId="55457A53" w14:textId="77777777" w:rsidR="00A20278" w:rsidRPr="00B41F17" w:rsidRDefault="00A20278" w:rsidP="00EB5F70">
      <w:pPr>
        <w:pStyle w:val="FootnoteText"/>
      </w:pPr>
    </w:p>
  </w:footnote>
  <w:footnote w:id="14">
    <w:p w14:paraId="256EC596" w14:textId="77777777" w:rsidR="00EB5F70" w:rsidRPr="00B41F17" w:rsidRDefault="00EB5F70" w:rsidP="00EB5F70">
      <w:pPr>
        <w:pStyle w:val="FootnoteText"/>
      </w:pPr>
      <w:r w:rsidRPr="00B41F17">
        <w:rPr>
          <w:rStyle w:val="FootnoteReference"/>
          <w:rFonts w:eastAsiaTheme="majorEastAsia"/>
        </w:rPr>
        <w:footnoteRef/>
      </w:r>
      <w:r w:rsidRPr="00B41F17">
        <w:t xml:space="preserve"> See, for example, Minter Ellison Rudd Watts, Industry overhaul: Contracts of Insurance Act 2024</w:t>
      </w:r>
    </w:p>
    <w:p w14:paraId="259ED00E" w14:textId="2CCD5387" w:rsidR="00EB5F70" w:rsidRDefault="0055537F" w:rsidP="00EB5F70">
      <w:pPr>
        <w:pStyle w:val="FootnoteText"/>
      </w:pPr>
      <w:r>
        <w:t>&lt;</w:t>
      </w:r>
      <w:hyperlink r:id="rId2" w:history="1">
        <w:r w:rsidR="00EB5F70" w:rsidRPr="00B30E46">
          <w:rPr>
            <w:rStyle w:val="Hyperlink"/>
          </w:rPr>
          <w:t>https://www.minterellison.co.nz/insights/industry-overhaul-contracts-of-insurance-act-2024</w:t>
        </w:r>
      </w:hyperlink>
      <w:r>
        <w:t xml:space="preserve">&gt; </w:t>
      </w:r>
      <w:r w:rsidRPr="0055537F">
        <w:t>accessed March 2026</w:t>
      </w:r>
    </w:p>
    <w:p w14:paraId="7B389586" w14:textId="77777777" w:rsidR="00A20278" w:rsidRPr="00B41F17" w:rsidRDefault="00A20278" w:rsidP="00EB5F70">
      <w:pPr>
        <w:pStyle w:val="FootnoteText"/>
      </w:pPr>
    </w:p>
  </w:footnote>
  <w:footnote w:id="15">
    <w:p w14:paraId="58A06447" w14:textId="77777777" w:rsidR="00EB5F70" w:rsidRDefault="00EB5F70" w:rsidP="00EB5F70">
      <w:pPr>
        <w:pStyle w:val="FootnoteText"/>
        <w:rPr>
          <w:lang w:val="en-US"/>
        </w:rPr>
      </w:pPr>
      <w:r w:rsidRPr="00B41F17">
        <w:rPr>
          <w:rStyle w:val="FootnoteReference"/>
          <w:rFonts w:eastAsiaTheme="majorEastAsia"/>
        </w:rPr>
        <w:footnoteRef/>
      </w:r>
      <w:r w:rsidRPr="00B41F17">
        <w:t xml:space="preserve"> </w:t>
      </w:r>
      <w:r w:rsidRPr="00B41F17">
        <w:rPr>
          <w:lang w:val="en-US"/>
        </w:rPr>
        <w:t>See, for example, J. Tarr, “Marine Insurance Reform in Australia – the following sea” (2017) 45 Australian Business Law Review 117.</w:t>
      </w:r>
    </w:p>
    <w:p w14:paraId="10D522A0" w14:textId="77777777" w:rsidR="00A20278" w:rsidRPr="00B41F17" w:rsidRDefault="00A20278" w:rsidP="00EB5F70">
      <w:pPr>
        <w:pStyle w:val="FootnoteText"/>
      </w:pPr>
    </w:p>
  </w:footnote>
  <w:footnote w:id="16">
    <w:p w14:paraId="1C33E4AB" w14:textId="77777777" w:rsidR="00EB5F70" w:rsidRDefault="00EB5F70" w:rsidP="00EB5F70">
      <w:pPr>
        <w:pStyle w:val="FootnoteText"/>
        <w:rPr>
          <w:lang w:val="en-US"/>
        </w:rPr>
      </w:pPr>
      <w:r w:rsidRPr="00B41F17">
        <w:rPr>
          <w:rStyle w:val="FootnoteReference"/>
          <w:rFonts w:eastAsiaTheme="majorEastAsia"/>
        </w:rPr>
        <w:footnoteRef/>
      </w:r>
      <w:r w:rsidRPr="00B41F17">
        <w:rPr>
          <w:lang w:val="en-US"/>
        </w:rPr>
        <w:t xml:space="preserve"> Generally, see J. Tarr, “Transforming Insurance Law: A comparative review of recent insurance law reform in the United Kingdom and Australia”, (2016) 28 Insurance Law Journal 10.</w:t>
      </w:r>
    </w:p>
    <w:p w14:paraId="5A9EB935" w14:textId="77777777" w:rsidR="00A20278" w:rsidRPr="00B41F17" w:rsidRDefault="00A20278" w:rsidP="00EB5F70">
      <w:pPr>
        <w:pStyle w:val="FootnoteText"/>
        <w:rPr>
          <w:lang w:val="en-US"/>
        </w:rPr>
      </w:pPr>
    </w:p>
  </w:footnote>
  <w:footnote w:id="17">
    <w:p w14:paraId="0DD824AE" w14:textId="03DE7B2D"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274976">
        <w:rPr>
          <w:rFonts w:ascii="Times New Roman" w:hAnsi="Times New Roman" w:cs="Times New Roman"/>
          <w:sz w:val="20"/>
          <w:szCs w:val="20"/>
        </w:rPr>
        <w:t xml:space="preserve"> </w:t>
      </w:r>
      <w:r w:rsidRPr="00B41F17">
        <w:rPr>
          <w:rFonts w:ascii="Times New Roman" w:hAnsi="Times New Roman"/>
          <w:sz w:val="20"/>
        </w:rPr>
        <w:t>Geneva Association, Big Data and Insurance: Implications for Innovation, Competition and Privacy (Geneva Association 2018) 10.</w:t>
      </w:r>
    </w:p>
  </w:footnote>
  <w:footnote w:id="18">
    <w:p w14:paraId="3803CF4C" w14:textId="5C0A3536"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274976">
        <w:rPr>
          <w:rFonts w:ascii="Times New Roman" w:hAnsi="Times New Roman" w:cs="Times New Roman"/>
          <w:sz w:val="20"/>
          <w:szCs w:val="20"/>
        </w:rPr>
        <w:t xml:space="preserve"> </w:t>
      </w:r>
      <w:r w:rsidRPr="00B41F17">
        <w:rPr>
          <w:rFonts w:ascii="Times New Roman" w:hAnsi="Times New Roman"/>
          <w:sz w:val="20"/>
        </w:rPr>
        <w:t xml:space="preserve">Insurance Act 2015, s </w:t>
      </w:r>
      <w:r w:rsidR="00795CC1">
        <w:rPr>
          <w:rFonts w:ascii="Times New Roman" w:hAnsi="Times New Roman" w:cs="Times New Roman"/>
          <w:sz w:val="20"/>
          <w:szCs w:val="20"/>
        </w:rPr>
        <w:t>3(</w:t>
      </w:r>
      <w:r w:rsidR="00795CC1" w:rsidRPr="00B41F17">
        <w:rPr>
          <w:rFonts w:ascii="Times New Roman" w:hAnsi="Times New Roman"/>
          <w:sz w:val="20"/>
        </w:rPr>
        <w:t>4</w:t>
      </w:r>
      <w:r w:rsidR="00795CC1">
        <w:rPr>
          <w:rFonts w:ascii="Times New Roman" w:hAnsi="Times New Roman" w:cs="Times New Roman"/>
          <w:sz w:val="20"/>
          <w:szCs w:val="20"/>
        </w:rPr>
        <w:t>)</w:t>
      </w:r>
    </w:p>
  </w:footnote>
  <w:footnote w:id="19">
    <w:p w14:paraId="3C72D3AB" w14:textId="719DC1B5" w:rsidR="00177FD6" w:rsidRDefault="00177FD6">
      <w:pPr>
        <w:pStyle w:val="FootnoteText"/>
      </w:pPr>
      <w:r>
        <w:rPr>
          <w:rStyle w:val="FootnoteReference"/>
        </w:rPr>
        <w:footnoteRef/>
      </w:r>
      <w:r>
        <w:t xml:space="preserve"> Insurance Act 2015, s.3(5) and s.5.</w:t>
      </w:r>
    </w:p>
  </w:footnote>
  <w:footnote w:id="20">
    <w:p w14:paraId="05347745" w14:textId="16A6F3B5"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274976">
        <w:rPr>
          <w:rFonts w:ascii="Times New Roman" w:hAnsi="Times New Roman" w:cs="Times New Roman"/>
          <w:sz w:val="20"/>
          <w:szCs w:val="20"/>
        </w:rPr>
        <w:t xml:space="preserve"> </w:t>
      </w:r>
      <w:r w:rsidRPr="00B41F17">
        <w:rPr>
          <w:rFonts w:ascii="Times New Roman" w:hAnsi="Times New Roman"/>
          <w:i/>
          <w:sz w:val="20"/>
        </w:rPr>
        <w:t>PCW Syndicates Ltd v PCW Reinsurers</w:t>
      </w:r>
      <w:r w:rsidRPr="00B41F17">
        <w:rPr>
          <w:rFonts w:ascii="Times New Roman" w:hAnsi="Times New Roman"/>
          <w:sz w:val="20"/>
        </w:rPr>
        <w:t xml:space="preserve"> [1996] 1 WLR 1136 (CA); </w:t>
      </w:r>
      <w:r w:rsidRPr="00B41F17">
        <w:rPr>
          <w:rFonts w:ascii="Times New Roman" w:hAnsi="Times New Roman"/>
          <w:i/>
          <w:sz w:val="20"/>
        </w:rPr>
        <w:t>HIH Casualty and General Insurance Ltd v Chase Manhattan Bank</w:t>
      </w:r>
      <w:r w:rsidRPr="00B41F17">
        <w:rPr>
          <w:rFonts w:ascii="Times New Roman" w:hAnsi="Times New Roman"/>
          <w:sz w:val="20"/>
        </w:rPr>
        <w:t xml:space="preserve"> [2003] UKHL 6, [2003] 2 Lloyd's Rep 61.</w:t>
      </w:r>
    </w:p>
  </w:footnote>
  <w:footnote w:id="21">
    <w:p w14:paraId="48D051AE" w14:textId="77777777"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Pr="00B41F17">
        <w:rPr>
          <w:rFonts w:ascii="Times New Roman" w:hAnsi="Times New Roman"/>
          <w:sz w:val="20"/>
        </w:rPr>
        <w:t xml:space="preserve">Antton Peña, Founder and Chief Strategy Officer, Flock Cover, industry communication (2024). See Flock Cover, Connected Fleet Insurance Product Overview (2024) &lt;www.flockcover.com&gt; accessed March 2026; A </w:t>
      </w:r>
      <w:proofErr w:type="spellStart"/>
      <w:r w:rsidRPr="00B41F17">
        <w:rPr>
          <w:rFonts w:ascii="Times New Roman" w:hAnsi="Times New Roman"/>
          <w:sz w:val="20"/>
        </w:rPr>
        <w:t>A</w:t>
      </w:r>
      <w:proofErr w:type="spellEnd"/>
      <w:r w:rsidRPr="00B41F17">
        <w:rPr>
          <w:rFonts w:ascii="Times New Roman" w:hAnsi="Times New Roman"/>
          <w:sz w:val="20"/>
        </w:rPr>
        <w:t xml:space="preserve"> Tarr and J-A Tarr, 'On-Demand Insurance' </w:t>
      </w:r>
      <w:proofErr w:type="spellStart"/>
      <w:r w:rsidRPr="00B41F17">
        <w:rPr>
          <w:rFonts w:ascii="Times New Roman" w:hAnsi="Times New Roman"/>
          <w:sz w:val="20"/>
        </w:rPr>
        <w:t>ch</w:t>
      </w:r>
      <w:proofErr w:type="spellEnd"/>
      <w:r w:rsidRPr="00B41F17">
        <w:rPr>
          <w:rFonts w:ascii="Times New Roman" w:hAnsi="Times New Roman"/>
          <w:sz w:val="20"/>
        </w:rPr>
        <w:t xml:space="preserve"> 3 in A </w:t>
      </w:r>
      <w:proofErr w:type="spellStart"/>
      <w:r w:rsidRPr="00B41F17">
        <w:rPr>
          <w:rFonts w:ascii="Times New Roman" w:hAnsi="Times New Roman"/>
          <w:sz w:val="20"/>
        </w:rPr>
        <w:t>A</w:t>
      </w:r>
      <w:proofErr w:type="spellEnd"/>
      <w:r w:rsidRPr="00B41F17">
        <w:rPr>
          <w:rFonts w:ascii="Times New Roman" w:hAnsi="Times New Roman"/>
          <w:sz w:val="20"/>
        </w:rPr>
        <w:t xml:space="preserve"> Tarr and others (eds), </w:t>
      </w:r>
      <w:r w:rsidRPr="00B41F17">
        <w:rPr>
          <w:rFonts w:ascii="Times New Roman" w:hAnsi="Times New Roman"/>
          <w:i/>
          <w:sz w:val="20"/>
        </w:rPr>
        <w:t>The Global Insurance Market and Change: Emerging Technologies, Risks and Legal Challenges</w:t>
      </w:r>
      <w:r w:rsidRPr="00B41F17">
        <w:rPr>
          <w:rFonts w:ascii="Times New Roman" w:hAnsi="Times New Roman"/>
          <w:sz w:val="20"/>
        </w:rPr>
        <w:t xml:space="preserve"> (Informa Law from Routledge 2023) 47, 54–58. [Note that Flock was acquired by Admiral Group in February 2026].</w:t>
      </w:r>
    </w:p>
  </w:footnote>
  <w:footnote w:id="22">
    <w:p w14:paraId="7ADA6237" w14:textId="77777777" w:rsidR="00EB5F70" w:rsidRDefault="00EB5F70" w:rsidP="00EB5F70">
      <w:pPr>
        <w:pStyle w:val="FootnoteText"/>
        <w:rPr>
          <w:rStyle w:val="Emphasis"/>
          <w:i w:val="0"/>
          <w:iCs w:val="0"/>
        </w:rPr>
      </w:pPr>
      <w:r w:rsidRPr="00B41F17">
        <w:rPr>
          <w:rStyle w:val="FootnoteReference"/>
          <w:rFonts w:eastAsiaTheme="majorEastAsia"/>
        </w:rPr>
        <w:footnoteRef/>
      </w:r>
      <w:r w:rsidRPr="00B41F17">
        <w:t xml:space="preserve"> Insurance Act 2015, duty of fair presentation ss 3–7. Generally, see </w:t>
      </w:r>
      <w:proofErr w:type="spellStart"/>
      <w:proofErr w:type="gramStart"/>
      <w:r w:rsidRPr="00B41F17">
        <w:rPr>
          <w:rStyle w:val="Emphasis"/>
          <w:i w:val="0"/>
        </w:rPr>
        <w:t>R.Merkin</w:t>
      </w:r>
      <w:proofErr w:type="spellEnd"/>
      <w:proofErr w:type="gramEnd"/>
      <w:r w:rsidRPr="00B41F17">
        <w:rPr>
          <w:rStyle w:val="Emphasis"/>
          <w:i w:val="0"/>
        </w:rPr>
        <w:t xml:space="preserve"> and O. </w:t>
      </w:r>
      <w:proofErr w:type="spellStart"/>
      <w:r w:rsidRPr="00B41F17">
        <w:rPr>
          <w:rStyle w:val="Emphasis"/>
          <w:i w:val="0"/>
        </w:rPr>
        <w:t>Gurses</w:t>
      </w:r>
      <w:proofErr w:type="spellEnd"/>
      <w:r w:rsidRPr="00B41F17">
        <w:rPr>
          <w:rStyle w:val="Emphasis"/>
          <w:i w:val="0"/>
        </w:rPr>
        <w:t>, ‘The Insurance Act 2015: Rebalancing the Interests of Insurer and Assured” [2015] 78 Modern Law Review 1004, at 1005.</w:t>
      </w:r>
    </w:p>
    <w:p w14:paraId="0F49C9AA" w14:textId="77777777" w:rsidR="00E509FA" w:rsidRPr="00B41F17" w:rsidRDefault="00E509FA" w:rsidP="00EB5F70">
      <w:pPr>
        <w:pStyle w:val="FootnoteText"/>
        <w:rPr>
          <w:i/>
          <w:lang w:val="en-US"/>
        </w:rPr>
      </w:pPr>
    </w:p>
  </w:footnote>
  <w:footnote w:id="23">
    <w:p w14:paraId="26F6C84D" w14:textId="060558EF"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511D34">
        <w:rPr>
          <w:rFonts w:ascii="Times New Roman" w:hAnsi="Times New Roman" w:cs="Times New Roman"/>
          <w:sz w:val="20"/>
          <w:szCs w:val="20"/>
        </w:rPr>
        <w:t xml:space="preserve"> </w:t>
      </w:r>
      <w:r w:rsidRPr="00B41F17">
        <w:rPr>
          <w:rFonts w:ascii="Times New Roman" w:hAnsi="Times New Roman"/>
          <w:sz w:val="20"/>
        </w:rPr>
        <w:t xml:space="preserve">Insurance Act 2015, ss 10–11. The suspensive effect of breach, replacing automatic discharge of liability from the date of breach, is a significant departure from the pre-2015 position: see </w:t>
      </w:r>
      <w:r w:rsidRPr="00B41F17">
        <w:rPr>
          <w:rFonts w:ascii="Times New Roman" w:hAnsi="Times New Roman"/>
          <w:i/>
          <w:sz w:val="20"/>
        </w:rPr>
        <w:t>Dawsons Ltd v Bonnin</w:t>
      </w:r>
      <w:r w:rsidRPr="00B41F17">
        <w:rPr>
          <w:rFonts w:ascii="Times New Roman" w:hAnsi="Times New Roman"/>
          <w:sz w:val="20"/>
        </w:rPr>
        <w:t xml:space="preserve"> [1922] 2 AC 413 (HL).</w:t>
      </w:r>
    </w:p>
  </w:footnote>
  <w:footnote w:id="24">
    <w:p w14:paraId="646EF03C" w14:textId="0EA84A49"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511D34">
        <w:rPr>
          <w:rFonts w:ascii="Times New Roman" w:hAnsi="Times New Roman" w:cs="Times New Roman"/>
          <w:color w:val="000000" w:themeColor="text1"/>
          <w:sz w:val="20"/>
          <w:szCs w:val="20"/>
        </w:rPr>
        <w:t xml:space="preserve"> </w:t>
      </w:r>
      <w:r w:rsidRPr="00B41F17">
        <w:rPr>
          <w:rFonts w:ascii="Times New Roman" w:hAnsi="Times New Roman"/>
          <w:color w:val="000000" w:themeColor="text1"/>
          <w:sz w:val="20"/>
        </w:rPr>
        <w:t xml:space="preserve">National Association of Insurance Commissioners, </w:t>
      </w:r>
      <w:proofErr w:type="spellStart"/>
      <w:r w:rsidRPr="00B41F17">
        <w:rPr>
          <w:rFonts w:ascii="Times New Roman" w:hAnsi="Times New Roman"/>
          <w:color w:val="000000" w:themeColor="text1"/>
          <w:sz w:val="20"/>
        </w:rPr>
        <w:t>Center</w:t>
      </w:r>
      <w:proofErr w:type="spellEnd"/>
      <w:r w:rsidRPr="00B41F17">
        <w:rPr>
          <w:rFonts w:ascii="Times New Roman" w:hAnsi="Times New Roman"/>
          <w:color w:val="000000" w:themeColor="text1"/>
          <w:sz w:val="20"/>
        </w:rPr>
        <w:t xml:space="preserve"> for Insurance Policy &amp; Research “On-Demand Insurance” 5/11/2022 </w:t>
      </w:r>
      <w:r w:rsidR="0055537F">
        <w:rPr>
          <w:rFonts w:ascii="Times New Roman" w:hAnsi="Times New Roman" w:cs="Times New Roman"/>
          <w:color w:val="000000" w:themeColor="text1"/>
          <w:sz w:val="20"/>
          <w:szCs w:val="20"/>
        </w:rPr>
        <w:t>&lt;</w:t>
      </w:r>
      <w:hyperlink r:id="rId3" w:history="1">
        <w:r w:rsidRPr="00A20278">
          <w:rPr>
            <w:rStyle w:val="Hyperlink"/>
            <w:rFonts w:ascii="Times New Roman" w:hAnsi="Times New Roman" w:cs="Times New Roman"/>
            <w:sz w:val="20"/>
            <w:szCs w:val="20"/>
          </w:rPr>
          <w:t>https://naic.soutronglobal.net/Portal/Public/en-US/DownloadImageFile.ashx?objectId=10178&amp;ownerType=0&amp;ownerId=26558</w:t>
        </w:r>
      </w:hyperlink>
      <w:r w:rsidR="0055537F">
        <w:rPr>
          <w:rFonts w:ascii="Times New Roman" w:hAnsi="Times New Roman" w:cs="Times New Roman"/>
          <w:color w:val="000000" w:themeColor="text1"/>
          <w:sz w:val="20"/>
          <w:szCs w:val="20"/>
        </w:rPr>
        <w:t xml:space="preserve">&gt; </w:t>
      </w:r>
      <w:r w:rsidR="0055537F" w:rsidRPr="0055537F">
        <w:rPr>
          <w:rFonts w:ascii="Times New Roman" w:hAnsi="Times New Roman" w:cs="Times New Roman"/>
          <w:color w:val="000000" w:themeColor="text1"/>
          <w:sz w:val="20"/>
          <w:szCs w:val="20"/>
        </w:rPr>
        <w:t>accessed March 2026</w:t>
      </w:r>
    </w:p>
  </w:footnote>
  <w:footnote w:id="25">
    <w:p w14:paraId="07B52B6D" w14:textId="090641D7"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511D34">
        <w:rPr>
          <w:rFonts w:ascii="Times New Roman" w:hAnsi="Times New Roman" w:cs="Times New Roman"/>
          <w:sz w:val="20"/>
          <w:szCs w:val="20"/>
        </w:rPr>
        <w:t xml:space="preserve"> </w:t>
      </w:r>
      <w:r w:rsidRPr="00B41F17">
        <w:rPr>
          <w:rFonts w:ascii="Times New Roman" w:hAnsi="Times New Roman"/>
          <w:sz w:val="20"/>
        </w:rPr>
        <w:t>Financial Conduct Authority</w:t>
      </w:r>
      <w:r w:rsidR="00403CE7">
        <w:rPr>
          <w:rFonts w:ascii="Times New Roman" w:hAnsi="Times New Roman" w:cs="Times New Roman"/>
          <w:sz w:val="20"/>
          <w:szCs w:val="20"/>
        </w:rPr>
        <w:t xml:space="preserve"> (FCA)</w:t>
      </w:r>
      <w:r w:rsidRPr="00EB5F70">
        <w:rPr>
          <w:rFonts w:ascii="Times New Roman" w:hAnsi="Times New Roman" w:cs="Times New Roman"/>
          <w:sz w:val="20"/>
          <w:szCs w:val="20"/>
        </w:rPr>
        <w:t xml:space="preserve">, </w:t>
      </w:r>
      <w:r w:rsidR="00F4164A">
        <w:rPr>
          <w:rFonts w:ascii="Times New Roman" w:hAnsi="Times New Roman" w:cs="Times New Roman"/>
          <w:sz w:val="20"/>
          <w:szCs w:val="20"/>
        </w:rPr>
        <w:t xml:space="preserve">FCA Handbook Principles for Business </w:t>
      </w:r>
      <w:r w:rsidR="00403CE7">
        <w:rPr>
          <w:rFonts w:ascii="Times New Roman" w:hAnsi="Times New Roman" w:cs="Times New Roman"/>
          <w:sz w:val="20"/>
          <w:szCs w:val="20"/>
        </w:rPr>
        <w:t>PRIN2A The Consumer Duty; FCA</w:t>
      </w:r>
      <w:r w:rsidR="003B0389" w:rsidRPr="00B41F17">
        <w:rPr>
          <w:rFonts w:ascii="Times New Roman" w:hAnsi="Times New Roman"/>
          <w:sz w:val="20"/>
        </w:rPr>
        <w:t xml:space="preserve">, </w:t>
      </w:r>
      <w:r w:rsidRPr="00B41F17">
        <w:rPr>
          <w:rFonts w:ascii="Times New Roman" w:hAnsi="Times New Roman"/>
          <w:sz w:val="20"/>
        </w:rPr>
        <w:t>PS22/9: A New Consumer Duty (FCA 2022); Financial Services and Markets Act 2023.</w:t>
      </w:r>
      <w:r w:rsidRPr="00B41F17">
        <w:rPr>
          <w:rFonts w:ascii="Times New Roman" w:hAnsi="Times New Roman"/>
          <w:b/>
          <w:color w:val="C00000"/>
          <w:sz w:val="20"/>
        </w:rPr>
        <w:t xml:space="preserve"> </w:t>
      </w:r>
      <w:r w:rsidRPr="00B41F17">
        <w:rPr>
          <w:rFonts w:ascii="Times New Roman" w:hAnsi="Times New Roman"/>
          <w:sz w:val="20"/>
        </w:rPr>
        <w:t>It is noted that</w:t>
      </w:r>
      <w:r w:rsidRPr="00B41F17">
        <w:rPr>
          <w:rFonts w:ascii="Times New Roman" w:hAnsi="Times New Roman"/>
          <w:b/>
          <w:sz w:val="20"/>
        </w:rPr>
        <w:t xml:space="preserve"> </w:t>
      </w:r>
      <w:r w:rsidRPr="00B41F17">
        <w:rPr>
          <w:rFonts w:ascii="Times New Roman" w:hAnsi="Times New Roman"/>
          <w:sz w:val="20"/>
        </w:rPr>
        <w:t xml:space="preserve">the Consumer Duty applies primarily to </w:t>
      </w:r>
      <w:r w:rsidRPr="00B41F17">
        <w:rPr>
          <w:rFonts w:ascii="Times New Roman" w:hAnsi="Times New Roman"/>
          <w:b/>
          <w:sz w:val="20"/>
        </w:rPr>
        <w:t>retail customers</w:t>
      </w:r>
      <w:r w:rsidRPr="00B41F17">
        <w:rPr>
          <w:rFonts w:ascii="Times New Roman" w:hAnsi="Times New Roman"/>
          <w:sz w:val="20"/>
        </w:rPr>
        <w:t xml:space="preserve">. So with reference to the commercial motor fleet insurance example, customers are generally not retail customers in the FCA sense. The Duty does apply to some commercial customers proportionately, but it is not straightforward to invoke it as the primary regulatory constraint on algorithmic pricing in the commercial motor fleet sector without qualification. The more directly applicable regulatory framework for commercial pricing transparency would be the FCA's general rules on fair treatment and ICOBS, not the Consumer Duty. </w:t>
      </w:r>
    </w:p>
  </w:footnote>
  <w:footnote w:id="26">
    <w:p w14:paraId="4C4FAC0B" w14:textId="69369B0C"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rPr>
        <w:t xml:space="preserve"> </w:t>
      </w:r>
      <w:r w:rsidRPr="00B41F17">
        <w:rPr>
          <w:rFonts w:ascii="Times New Roman" w:hAnsi="Times New Roman"/>
          <w:sz w:val="20"/>
        </w:rPr>
        <w:t xml:space="preserve">Conning Research, </w:t>
      </w:r>
      <w:r w:rsidRPr="00B41F17">
        <w:rPr>
          <w:rFonts w:ascii="Times New Roman" w:hAnsi="Times New Roman"/>
          <w:i/>
          <w:sz w:val="20"/>
        </w:rPr>
        <w:t>Embedded Insurance: A Trillion-Dollar Opportunity</w:t>
      </w:r>
      <w:r w:rsidRPr="00B41F17">
        <w:rPr>
          <w:rFonts w:ascii="Times New Roman" w:hAnsi="Times New Roman"/>
          <w:sz w:val="20"/>
        </w:rPr>
        <w:t xml:space="preserve"> (Conning 2022) 5; A McDonald, K Paynter and E van der Vyver, 'Embedded Insurance' </w:t>
      </w:r>
      <w:proofErr w:type="spellStart"/>
      <w:r w:rsidRPr="00B41F17">
        <w:rPr>
          <w:rFonts w:ascii="Times New Roman" w:hAnsi="Times New Roman"/>
          <w:sz w:val="20"/>
        </w:rPr>
        <w:t>ch</w:t>
      </w:r>
      <w:proofErr w:type="spellEnd"/>
      <w:r w:rsidRPr="00B41F17">
        <w:rPr>
          <w:rFonts w:ascii="Times New Roman" w:hAnsi="Times New Roman"/>
          <w:sz w:val="20"/>
        </w:rPr>
        <w:t xml:space="preserve"> 4 in Tarr and others (n </w:t>
      </w:r>
      <w:r w:rsidR="00A9366F">
        <w:rPr>
          <w:rFonts w:ascii="Times New Roman" w:hAnsi="Times New Roman" w:cs="Times New Roman"/>
          <w:sz w:val="20"/>
          <w:szCs w:val="20"/>
        </w:rPr>
        <w:t>20</w:t>
      </w:r>
      <w:r w:rsidRPr="00B41F17">
        <w:rPr>
          <w:rFonts w:ascii="Times New Roman" w:hAnsi="Times New Roman"/>
          <w:sz w:val="20"/>
        </w:rPr>
        <w:t>) 66.</w:t>
      </w:r>
    </w:p>
  </w:footnote>
  <w:footnote w:id="27">
    <w:p w14:paraId="18C6B408" w14:textId="7473637E" w:rsidR="00177FD6" w:rsidRDefault="00177FD6" w:rsidP="00177FD6">
      <w:pPr>
        <w:pStyle w:val="FootnoteText"/>
        <w:rPr>
          <w:lang w:val="en-GB"/>
        </w:rPr>
      </w:pPr>
      <w:r>
        <w:rPr>
          <w:rStyle w:val="FootnoteReference"/>
        </w:rPr>
        <w:footnoteRef/>
      </w:r>
      <w:r>
        <w:t xml:space="preserve"> </w:t>
      </w:r>
      <w:r w:rsidRPr="00177FD6">
        <w:rPr>
          <w:lang w:val="en-GB"/>
        </w:rPr>
        <w:t>An Application Programming Interface (API) is a set of rules and protocols that allows different software applications to communicate, sharing data and functionality securely</w:t>
      </w:r>
      <w:r w:rsidR="00796C39">
        <w:rPr>
          <w:lang w:val="en-GB"/>
        </w:rPr>
        <w:t>.</w:t>
      </w:r>
      <w:r w:rsidR="00796C39" w:rsidRPr="00796C39">
        <w:t xml:space="preserve"> </w:t>
      </w:r>
    </w:p>
    <w:p w14:paraId="5AC367B2" w14:textId="77777777" w:rsidR="00B41F17" w:rsidRDefault="00B41F17" w:rsidP="00177FD6">
      <w:pPr>
        <w:pStyle w:val="FootnoteText"/>
      </w:pPr>
    </w:p>
  </w:footnote>
  <w:footnote w:id="28">
    <w:p w14:paraId="27880BB9" w14:textId="2C69011F"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rPr>
        <w:t xml:space="preserve"> </w:t>
      </w:r>
      <w:r w:rsidRPr="00B41F17">
        <w:rPr>
          <w:rFonts w:ascii="Times New Roman" w:hAnsi="Times New Roman"/>
          <w:sz w:val="20"/>
        </w:rPr>
        <w:t xml:space="preserve">Cover Genius, </w:t>
      </w:r>
      <w:proofErr w:type="spellStart"/>
      <w:r w:rsidRPr="00B41F17">
        <w:rPr>
          <w:rFonts w:ascii="Times New Roman" w:hAnsi="Times New Roman"/>
          <w:sz w:val="20"/>
        </w:rPr>
        <w:t>XCover</w:t>
      </w:r>
      <w:proofErr w:type="spellEnd"/>
      <w:r w:rsidRPr="00B41F17">
        <w:rPr>
          <w:rFonts w:ascii="Times New Roman" w:hAnsi="Times New Roman"/>
          <w:sz w:val="20"/>
        </w:rPr>
        <w:t xml:space="preserve"> Platform Overview (2024) &lt;</w:t>
      </w:r>
      <w:hyperlink r:id="rId4" w:history="1">
        <w:r w:rsidRPr="00B41F17">
          <w:rPr>
            <w:rStyle w:val="Hyperlink"/>
            <w:rFonts w:ascii="Times New Roman" w:hAnsi="Times New Roman"/>
            <w:sz w:val="20"/>
          </w:rPr>
          <w:t>www.covergenius.com</w:t>
        </w:r>
      </w:hyperlink>
      <w:r w:rsidRPr="00B41F17">
        <w:rPr>
          <w:rFonts w:ascii="Times New Roman" w:hAnsi="Times New Roman"/>
          <w:sz w:val="20"/>
        </w:rPr>
        <w:t>&gt; accessed March 2026.</w:t>
      </w:r>
    </w:p>
  </w:footnote>
  <w:footnote w:id="29">
    <w:p w14:paraId="29367700" w14:textId="0A376D1E"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rPr>
        <w:t xml:space="preserve"> </w:t>
      </w:r>
      <w:r w:rsidRPr="00B41F17">
        <w:rPr>
          <w:rFonts w:ascii="Times New Roman" w:hAnsi="Times New Roman"/>
          <w:sz w:val="20"/>
        </w:rPr>
        <w:t>Financial Conduct Authority, MS14/1.3: General Insurance Add-Ons Market Study — Final Report and Proposed Remedies (FCA 2014).</w:t>
      </w:r>
    </w:p>
  </w:footnote>
  <w:footnote w:id="30">
    <w:p w14:paraId="297FF6B8" w14:textId="6EE714F7"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rPr>
        <w:t xml:space="preserve"> </w:t>
      </w:r>
      <w:r w:rsidR="00EC00CB">
        <w:rPr>
          <w:rFonts w:ascii="Times New Roman" w:hAnsi="Times New Roman" w:cs="Times New Roman"/>
          <w:sz w:val="20"/>
          <w:szCs w:val="20"/>
        </w:rPr>
        <w:t xml:space="preserve">FCA </w:t>
      </w:r>
      <w:r w:rsidR="00EC00CB" w:rsidRPr="00EC00CB">
        <w:rPr>
          <w:rFonts w:ascii="Times New Roman" w:hAnsi="Times New Roman" w:cs="Times New Roman"/>
          <w:sz w:val="20"/>
          <w:szCs w:val="20"/>
        </w:rPr>
        <w:t>Handbook Principles for Business PRIN 2A.3 Consumer Duty: retail customer outcome - products and services</w:t>
      </w:r>
      <w:r w:rsidR="00EC00CB">
        <w:rPr>
          <w:rFonts w:ascii="Times New Roman" w:hAnsi="Times New Roman" w:cs="Times New Roman"/>
          <w:sz w:val="20"/>
          <w:szCs w:val="20"/>
        </w:rPr>
        <w:t xml:space="preserve"> </w:t>
      </w:r>
      <w:r w:rsidR="002155B1">
        <w:rPr>
          <w:rFonts w:ascii="Times New Roman" w:hAnsi="Times New Roman" w:cs="Times New Roman"/>
          <w:sz w:val="20"/>
          <w:szCs w:val="20"/>
        </w:rPr>
        <w:t xml:space="preserve">and </w:t>
      </w:r>
      <w:r w:rsidR="002155B1" w:rsidRPr="002155B1">
        <w:rPr>
          <w:rFonts w:ascii="Times New Roman" w:hAnsi="Times New Roman" w:cs="Times New Roman"/>
          <w:sz w:val="20"/>
          <w:szCs w:val="20"/>
        </w:rPr>
        <w:t>PRIN 2A.5 Consumer Duty: retail customer outcome on consumer understanding</w:t>
      </w:r>
      <w:r w:rsidR="002155B1">
        <w:rPr>
          <w:rFonts w:ascii="Times New Roman" w:hAnsi="Times New Roman" w:cs="Times New Roman"/>
          <w:sz w:val="20"/>
          <w:szCs w:val="20"/>
        </w:rPr>
        <w:t xml:space="preserve">; </w:t>
      </w:r>
      <w:r w:rsidRPr="00EB5F70">
        <w:rPr>
          <w:rFonts w:ascii="Times New Roman" w:hAnsi="Times New Roman" w:cs="Times New Roman"/>
          <w:sz w:val="20"/>
          <w:szCs w:val="20"/>
        </w:rPr>
        <w:t>F</w:t>
      </w:r>
      <w:r w:rsidR="00EC00CB">
        <w:rPr>
          <w:rFonts w:ascii="Times New Roman" w:hAnsi="Times New Roman" w:cs="Times New Roman"/>
          <w:sz w:val="20"/>
          <w:szCs w:val="20"/>
        </w:rPr>
        <w:t>CA</w:t>
      </w:r>
      <w:r w:rsidRPr="00B41F17">
        <w:rPr>
          <w:rFonts w:ascii="Times New Roman" w:hAnsi="Times New Roman"/>
          <w:sz w:val="20"/>
        </w:rPr>
        <w:t xml:space="preserve">, PS22/9: A New Consumer Duty (FCA 2022), </w:t>
      </w:r>
      <w:proofErr w:type="spellStart"/>
      <w:r w:rsidRPr="00B41F17">
        <w:rPr>
          <w:rFonts w:ascii="Times New Roman" w:hAnsi="Times New Roman"/>
          <w:sz w:val="20"/>
        </w:rPr>
        <w:t>ch</w:t>
      </w:r>
      <w:proofErr w:type="spellEnd"/>
      <w:r w:rsidRPr="00B41F17">
        <w:rPr>
          <w:rFonts w:ascii="Times New Roman" w:hAnsi="Times New Roman"/>
          <w:sz w:val="20"/>
        </w:rPr>
        <w:t xml:space="preserve"> 4 (product and service outcome).</w:t>
      </w:r>
    </w:p>
  </w:footnote>
  <w:footnote w:id="31">
    <w:p w14:paraId="2D28C1C5" w14:textId="43760005"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rPr>
        <w:t xml:space="preserve"> </w:t>
      </w:r>
      <w:r w:rsidRPr="00B41F17">
        <w:rPr>
          <w:rFonts w:ascii="Times New Roman" w:hAnsi="Times New Roman"/>
          <w:sz w:val="20"/>
        </w:rPr>
        <w:t xml:space="preserve">The principle of free choice in insurance distribution is addressed in the context of UK competition law by the Competition Act 1998: see generally Jonathan Mance and others, </w:t>
      </w:r>
      <w:r w:rsidRPr="00B41F17">
        <w:rPr>
          <w:rFonts w:ascii="Times New Roman" w:hAnsi="Times New Roman"/>
          <w:i/>
          <w:sz w:val="20"/>
        </w:rPr>
        <w:t>Insurance Disputes</w:t>
      </w:r>
      <w:r w:rsidRPr="00B41F17">
        <w:rPr>
          <w:rFonts w:ascii="Times New Roman" w:hAnsi="Times New Roman"/>
          <w:sz w:val="20"/>
        </w:rPr>
        <w:t xml:space="preserve"> (4th </w:t>
      </w:r>
      <w:proofErr w:type="spellStart"/>
      <w:r w:rsidRPr="00B41F17">
        <w:rPr>
          <w:rFonts w:ascii="Times New Roman" w:hAnsi="Times New Roman"/>
          <w:sz w:val="20"/>
        </w:rPr>
        <w:t>edn</w:t>
      </w:r>
      <w:proofErr w:type="spellEnd"/>
      <w:r w:rsidRPr="00B41F17">
        <w:rPr>
          <w:rFonts w:ascii="Times New Roman" w:hAnsi="Times New Roman"/>
          <w:sz w:val="20"/>
        </w:rPr>
        <w:t xml:space="preserve">, Informa 2022) </w:t>
      </w:r>
      <w:proofErr w:type="spellStart"/>
      <w:r w:rsidRPr="00B41F17">
        <w:rPr>
          <w:rFonts w:ascii="Times New Roman" w:hAnsi="Times New Roman"/>
          <w:sz w:val="20"/>
        </w:rPr>
        <w:t>ch</w:t>
      </w:r>
      <w:proofErr w:type="spellEnd"/>
      <w:r w:rsidRPr="00B41F17">
        <w:rPr>
          <w:rFonts w:ascii="Times New Roman" w:hAnsi="Times New Roman"/>
          <w:sz w:val="20"/>
        </w:rPr>
        <w:t xml:space="preserve"> 29.</w:t>
      </w:r>
    </w:p>
  </w:footnote>
  <w:footnote w:id="32">
    <w:p w14:paraId="0F9E5CA4" w14:textId="20EB90BE"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rPr>
        <w:t xml:space="preserve"> </w:t>
      </w:r>
      <w:r w:rsidRPr="00B41F17">
        <w:rPr>
          <w:rFonts w:ascii="Times New Roman" w:hAnsi="Times New Roman"/>
          <w:sz w:val="20"/>
        </w:rPr>
        <w:t xml:space="preserve">See J Hjalmarsson and others, </w:t>
      </w:r>
      <w:r w:rsidRPr="00B41F17">
        <w:rPr>
          <w:rFonts w:ascii="Times New Roman" w:hAnsi="Times New Roman"/>
          <w:i/>
          <w:sz w:val="20"/>
        </w:rPr>
        <w:t>Insurance Law and the Internet of Things</w:t>
      </w:r>
      <w:r w:rsidRPr="00B41F17">
        <w:rPr>
          <w:rFonts w:ascii="Times New Roman" w:hAnsi="Times New Roman"/>
          <w:sz w:val="20"/>
        </w:rPr>
        <w:t xml:space="preserve"> (Hart 2021) </w:t>
      </w:r>
      <w:proofErr w:type="spellStart"/>
      <w:r w:rsidRPr="00B41F17">
        <w:rPr>
          <w:rFonts w:ascii="Times New Roman" w:hAnsi="Times New Roman"/>
          <w:sz w:val="20"/>
        </w:rPr>
        <w:t>ch</w:t>
      </w:r>
      <w:proofErr w:type="spellEnd"/>
      <w:r w:rsidRPr="00B41F17">
        <w:rPr>
          <w:rFonts w:ascii="Times New Roman" w:hAnsi="Times New Roman"/>
          <w:sz w:val="20"/>
        </w:rPr>
        <w:t xml:space="preserve"> 7 on intellectual property in collaborative insurance technology structures.</w:t>
      </w:r>
    </w:p>
  </w:footnote>
  <w:footnote w:id="33">
    <w:p w14:paraId="4954AA49" w14:textId="081C8319"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rPr>
        <w:t xml:space="preserve"> </w:t>
      </w:r>
      <w:r w:rsidRPr="00B41F17">
        <w:rPr>
          <w:rFonts w:ascii="Times New Roman" w:hAnsi="Times New Roman"/>
          <w:sz w:val="20"/>
        </w:rPr>
        <w:t xml:space="preserve">Swiss Re Institute, sigma 1/2025: Natural Catastrophes: Insured Losses on Trend to USD 145 Billion in 2025 (Swiss Re Institute 2025); see also F Arnold-Dwyer, </w:t>
      </w:r>
      <w:r w:rsidRPr="00B41F17">
        <w:rPr>
          <w:rFonts w:ascii="Times New Roman" w:hAnsi="Times New Roman"/>
          <w:i/>
          <w:sz w:val="20"/>
        </w:rPr>
        <w:t>Insurance, Climate Change and the Law</w:t>
      </w:r>
      <w:r w:rsidRPr="00B41F17">
        <w:rPr>
          <w:rFonts w:ascii="Times New Roman" w:hAnsi="Times New Roman"/>
          <w:sz w:val="20"/>
        </w:rPr>
        <w:t xml:space="preserve"> (Routledge 2024) </w:t>
      </w:r>
      <w:proofErr w:type="spellStart"/>
      <w:r w:rsidRPr="00B41F17">
        <w:rPr>
          <w:rFonts w:ascii="Times New Roman" w:hAnsi="Times New Roman"/>
          <w:sz w:val="20"/>
        </w:rPr>
        <w:t>ch</w:t>
      </w:r>
      <w:proofErr w:type="spellEnd"/>
      <w:r w:rsidRPr="00B41F17">
        <w:rPr>
          <w:rFonts w:ascii="Times New Roman" w:hAnsi="Times New Roman"/>
          <w:sz w:val="20"/>
        </w:rPr>
        <w:t xml:space="preserve"> 2 on the growing natural catastrophe protection gap and its legal implications for property insurance.</w:t>
      </w:r>
    </w:p>
  </w:footnote>
  <w:footnote w:id="34">
    <w:p w14:paraId="5015A0E3" w14:textId="2BF3EB1E"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lang w:val="pt-BR"/>
        </w:rPr>
        <w:t xml:space="preserve"> </w:t>
      </w:r>
      <w:r w:rsidRPr="00B41F17">
        <w:rPr>
          <w:rFonts w:ascii="Times New Roman" w:hAnsi="Times New Roman"/>
          <w:sz w:val="20"/>
          <w:lang w:val="pt-BR"/>
        </w:rPr>
        <w:t xml:space="preserve">Swiss Re Institute, sigma 1/2025 (n </w:t>
      </w:r>
      <w:r w:rsidR="002E63C5">
        <w:rPr>
          <w:rFonts w:ascii="Times New Roman" w:hAnsi="Times New Roman" w:cs="Times New Roman"/>
          <w:sz w:val="20"/>
          <w:szCs w:val="20"/>
          <w:lang w:val="pt-BR"/>
        </w:rPr>
        <w:t>3</w:t>
      </w:r>
      <w:r w:rsidR="00B41F17">
        <w:rPr>
          <w:rFonts w:ascii="Times New Roman" w:hAnsi="Times New Roman" w:cs="Times New Roman"/>
          <w:sz w:val="20"/>
          <w:szCs w:val="20"/>
          <w:lang w:val="pt-BR"/>
        </w:rPr>
        <w:t>3</w:t>
      </w:r>
      <w:r w:rsidRPr="00B41F17">
        <w:rPr>
          <w:rFonts w:ascii="Times New Roman" w:hAnsi="Times New Roman"/>
          <w:sz w:val="20"/>
          <w:lang w:val="pt-BR"/>
        </w:rPr>
        <w:t xml:space="preserve">). </w:t>
      </w:r>
      <w:r w:rsidRPr="00B41F17">
        <w:rPr>
          <w:rFonts w:ascii="Times New Roman" w:hAnsi="Times New Roman"/>
          <w:sz w:val="20"/>
        </w:rPr>
        <w:t xml:space="preserve">Insured losses from natural catastrophes have exceeded USD 100 billion for six consecutive years: Swiss Re Institute, '2025 Marks Sixth Year Insured Natural Catastrophe Losses Exceed USD 100 Billion' (Press Release, 16 December 2025) </w:t>
      </w:r>
      <w:r w:rsidRPr="00EB5F70">
        <w:rPr>
          <w:rFonts w:ascii="Times New Roman" w:hAnsi="Times New Roman" w:cs="Times New Roman"/>
          <w:sz w:val="20"/>
          <w:szCs w:val="20"/>
        </w:rPr>
        <w:t>&lt;</w:t>
      </w:r>
      <w:hyperlink r:id="rId5" w:history="1">
        <w:r w:rsidRPr="002E63C5">
          <w:rPr>
            <w:rStyle w:val="Hyperlink"/>
            <w:rFonts w:ascii="Times New Roman" w:hAnsi="Times New Roman" w:cs="Times New Roman"/>
            <w:sz w:val="20"/>
            <w:szCs w:val="20"/>
          </w:rPr>
          <w:t>www.swissre.com</w:t>
        </w:r>
      </w:hyperlink>
      <w:r w:rsidRPr="00EB5F70">
        <w:rPr>
          <w:rFonts w:ascii="Times New Roman" w:hAnsi="Times New Roman" w:cs="Times New Roman"/>
          <w:sz w:val="20"/>
          <w:szCs w:val="20"/>
        </w:rPr>
        <w:t>&gt;</w:t>
      </w:r>
      <w:r w:rsidRPr="00B41F17">
        <w:rPr>
          <w:rFonts w:ascii="Times New Roman" w:hAnsi="Times New Roman"/>
          <w:sz w:val="20"/>
        </w:rPr>
        <w:t xml:space="preserve"> accessed March 2026.</w:t>
      </w:r>
    </w:p>
  </w:footnote>
  <w:footnote w:id="35">
    <w:p w14:paraId="68CA13A8" w14:textId="07D133C2"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rPr>
        <w:t xml:space="preserve"> </w:t>
      </w:r>
      <w:r w:rsidRPr="00B41F17">
        <w:rPr>
          <w:rFonts w:ascii="Times New Roman" w:hAnsi="Times New Roman"/>
          <w:sz w:val="20"/>
        </w:rPr>
        <w:t>Swiss Re Institute, sigma 1/2024: Natural Catastrophes in 2023: Gearing Up for Today's and Tomorrow's Weather Risks (Swiss Re Institute 2024). The medium-severity event category (losses of USD 1–5 billion) recorded average annual frequency growth of 7.5% over the preceding 30 years.</w:t>
      </w:r>
    </w:p>
  </w:footnote>
  <w:footnote w:id="36">
    <w:p w14:paraId="2B610327" w14:textId="6FD63BD6"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rPr>
        <w:t xml:space="preserve"> </w:t>
      </w:r>
      <w:r w:rsidRPr="00EB5F70">
        <w:rPr>
          <w:rFonts w:ascii="Times New Roman" w:hAnsi="Times New Roman" w:cs="Times New Roman"/>
          <w:sz w:val="20"/>
          <w:szCs w:val="20"/>
        </w:rPr>
        <w:t>F Arnold-Dwyer</w:t>
      </w:r>
      <w:r w:rsidR="002B53CB">
        <w:rPr>
          <w:rFonts w:ascii="Times New Roman" w:hAnsi="Times New Roman" w:cs="Times New Roman"/>
          <w:sz w:val="20"/>
          <w:szCs w:val="20"/>
        </w:rPr>
        <w:t xml:space="preserve"> </w:t>
      </w:r>
      <w:r w:rsidR="0079165F">
        <w:rPr>
          <w:rFonts w:ascii="Times New Roman" w:hAnsi="Times New Roman" w:cs="Times New Roman"/>
          <w:sz w:val="20"/>
          <w:szCs w:val="20"/>
        </w:rPr>
        <w:t>(n 3</w:t>
      </w:r>
      <w:r w:rsidR="00B41F17">
        <w:rPr>
          <w:rFonts w:ascii="Times New Roman" w:hAnsi="Times New Roman" w:cs="Times New Roman"/>
          <w:sz w:val="20"/>
          <w:szCs w:val="20"/>
        </w:rPr>
        <w:t>3</w:t>
      </w:r>
      <w:r w:rsidRPr="00EB5F70">
        <w:rPr>
          <w:rFonts w:ascii="Times New Roman" w:hAnsi="Times New Roman" w:cs="Times New Roman"/>
          <w:sz w:val="20"/>
          <w:szCs w:val="20"/>
        </w:rPr>
        <w:t>).</w:t>
      </w:r>
      <w:r w:rsidRPr="00B41F17">
        <w:rPr>
          <w:rFonts w:ascii="Times New Roman" w:hAnsi="Times New Roman"/>
          <w:sz w:val="20"/>
        </w:rPr>
        <w:t xml:space="preserve"> Arnold-Dwyer argues that insurers should function as climate action enablers rather than passive risk-bearers, making proposals for products and structures that can support policyholders in transitioning to a low-carbon economy. For her analysis of the pressure on property insurance from extreme weather events and the legal responses available, see </w:t>
      </w:r>
      <w:proofErr w:type="spellStart"/>
      <w:r w:rsidRPr="00B41F17">
        <w:rPr>
          <w:rFonts w:ascii="Times New Roman" w:hAnsi="Times New Roman"/>
          <w:sz w:val="20"/>
        </w:rPr>
        <w:t>chs</w:t>
      </w:r>
      <w:proofErr w:type="spellEnd"/>
      <w:r w:rsidRPr="00B41F17">
        <w:rPr>
          <w:rFonts w:ascii="Times New Roman" w:hAnsi="Times New Roman"/>
          <w:sz w:val="20"/>
        </w:rPr>
        <w:t xml:space="preserve"> 2–4.</w:t>
      </w:r>
    </w:p>
  </w:footnote>
  <w:footnote w:id="37">
    <w:p w14:paraId="43C2B0F5" w14:textId="30DFE56C"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E45E18">
        <w:rPr>
          <w:rFonts w:ascii="Times New Roman" w:hAnsi="Times New Roman" w:cs="Times New Roman"/>
          <w:sz w:val="20"/>
          <w:szCs w:val="20"/>
        </w:rPr>
        <w:t xml:space="preserve"> </w:t>
      </w:r>
      <w:r w:rsidRPr="00B41F17">
        <w:rPr>
          <w:rFonts w:ascii="Times New Roman" w:hAnsi="Times New Roman"/>
          <w:sz w:val="20"/>
        </w:rPr>
        <w:t xml:space="preserve">Descartes Underwriting, Parametric Insurance for Renewable Energy Infrastructure (Technical Note, Descartes Underwriting 2023); W Lawrence J-A Tarr, N Brook and others, 'Parametric Insurance' </w:t>
      </w:r>
      <w:proofErr w:type="spellStart"/>
      <w:r w:rsidRPr="00B41F17">
        <w:rPr>
          <w:rFonts w:ascii="Times New Roman" w:hAnsi="Times New Roman"/>
          <w:sz w:val="20"/>
        </w:rPr>
        <w:t>ch</w:t>
      </w:r>
      <w:proofErr w:type="spellEnd"/>
      <w:r w:rsidRPr="00B41F17">
        <w:rPr>
          <w:rFonts w:ascii="Times New Roman" w:hAnsi="Times New Roman"/>
          <w:sz w:val="20"/>
        </w:rPr>
        <w:t xml:space="preserve"> 6 in Tarr and others (n </w:t>
      </w:r>
      <w:r w:rsidR="00664075">
        <w:rPr>
          <w:rFonts w:ascii="Times New Roman" w:hAnsi="Times New Roman" w:cs="Times New Roman"/>
          <w:sz w:val="20"/>
          <w:szCs w:val="20"/>
        </w:rPr>
        <w:t>20</w:t>
      </w:r>
      <w:r w:rsidRPr="00B41F17">
        <w:rPr>
          <w:rFonts w:ascii="Times New Roman" w:hAnsi="Times New Roman"/>
          <w:sz w:val="20"/>
        </w:rPr>
        <w:t>) 127, 140–145.</w:t>
      </w:r>
    </w:p>
  </w:footnote>
  <w:footnote w:id="38">
    <w:p w14:paraId="1F0B6CEA" w14:textId="187126BF" w:rsidR="00EB5F70" w:rsidRPr="00B41F17" w:rsidRDefault="00EB5F70" w:rsidP="00EB5F70">
      <w:pPr>
        <w:spacing w:after="80"/>
        <w:rPr>
          <w:rFonts w:ascii="Times New Roman" w:hAnsi="Times New Roman"/>
          <w:sz w:val="20"/>
          <w:lang w:val="en-US"/>
        </w:rPr>
      </w:pPr>
      <w:r w:rsidRPr="00B41F17">
        <w:rPr>
          <w:rStyle w:val="FootnoteReference"/>
          <w:rFonts w:ascii="Times New Roman" w:hAnsi="Times New Roman"/>
          <w:sz w:val="20"/>
        </w:rPr>
        <w:footnoteRef/>
      </w:r>
      <w:r w:rsidR="00D11DA8">
        <w:rPr>
          <w:rFonts w:ascii="Times New Roman" w:hAnsi="Times New Roman" w:cs="Times New Roman"/>
          <w:sz w:val="20"/>
          <w:szCs w:val="20"/>
        </w:rPr>
        <w:t xml:space="preserve"> </w:t>
      </w:r>
      <w:r w:rsidRPr="00B41F17">
        <w:rPr>
          <w:rFonts w:ascii="Times New Roman" w:hAnsi="Times New Roman"/>
          <w:sz w:val="20"/>
        </w:rPr>
        <w:t xml:space="preserve">Nigel Brook, Wynne Lawrence, Edward Langelier &amp; Bill Marcoix, Insurance Development Forum, How Technology Can Help Bridge the Protection Gap (IDF 2020) </w:t>
      </w:r>
      <w:r w:rsidR="0055537F">
        <w:rPr>
          <w:rFonts w:ascii="Times New Roman" w:hAnsi="Times New Roman" w:cs="Times New Roman"/>
          <w:sz w:val="20"/>
          <w:szCs w:val="20"/>
        </w:rPr>
        <w:t>&lt;</w:t>
      </w:r>
      <w:hyperlink r:id="rId6" w:history="1">
        <w:r w:rsidRPr="002B53CB">
          <w:rPr>
            <w:rStyle w:val="Hyperlink"/>
            <w:rFonts w:ascii="Times New Roman" w:hAnsi="Times New Roman" w:cs="Times New Roman"/>
            <w:sz w:val="20"/>
            <w:szCs w:val="20"/>
          </w:rPr>
          <w:t>https://www.insdevforum.org/wp-content/uploads/2020/08/How-technology-can-help-bridge-the-protection-gap-report-.pdf</w:t>
        </w:r>
      </w:hyperlink>
      <w:r w:rsidR="0055537F">
        <w:rPr>
          <w:rFonts w:ascii="Times New Roman" w:hAnsi="Times New Roman" w:cs="Times New Roman"/>
          <w:sz w:val="20"/>
          <w:szCs w:val="20"/>
        </w:rPr>
        <w:t xml:space="preserve">&gt; </w:t>
      </w:r>
      <w:r w:rsidR="0055537F" w:rsidRPr="0055537F">
        <w:rPr>
          <w:rFonts w:ascii="Times New Roman" w:hAnsi="Times New Roman" w:cs="Times New Roman"/>
          <w:sz w:val="20"/>
          <w:szCs w:val="20"/>
        </w:rPr>
        <w:t>accessed March 2026</w:t>
      </w:r>
    </w:p>
    <w:p w14:paraId="145E128B" w14:textId="77777777" w:rsidR="00EB5F70" w:rsidRPr="00B41F17" w:rsidRDefault="00EB5F70" w:rsidP="00EB5F70">
      <w:pPr>
        <w:spacing w:after="80"/>
        <w:rPr>
          <w:rFonts w:ascii="Times New Roman" w:hAnsi="Times New Roman"/>
          <w:sz w:val="20"/>
        </w:rPr>
      </w:pPr>
      <w:r w:rsidRPr="00B41F17">
        <w:rPr>
          <w:rFonts w:ascii="Times New Roman" w:hAnsi="Times New Roman"/>
          <w:sz w:val="20"/>
          <w:lang w:val="en-US"/>
        </w:rPr>
        <w:t xml:space="preserve">The authors </w:t>
      </w:r>
      <w:r w:rsidRPr="00B41F17">
        <w:rPr>
          <w:rFonts w:ascii="Times New Roman" w:hAnsi="Times New Roman"/>
          <w:sz w:val="20"/>
        </w:rPr>
        <w:t>identify the increasing availability of earth observation data and AI processing capacity as the key technological enablers for closing the natural catastrophe protection gap, with parametric structures as the primary delivery mechanism.</w:t>
      </w:r>
    </w:p>
  </w:footnote>
  <w:footnote w:id="39">
    <w:p w14:paraId="77FA278C" w14:textId="2ED17501"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D11DA8">
        <w:rPr>
          <w:rFonts w:ascii="Times New Roman" w:hAnsi="Times New Roman" w:cs="Times New Roman"/>
          <w:sz w:val="20"/>
          <w:szCs w:val="20"/>
        </w:rPr>
        <w:t xml:space="preserve"> </w:t>
      </w:r>
      <w:r w:rsidRPr="00B41F17">
        <w:rPr>
          <w:rFonts w:ascii="Times New Roman" w:hAnsi="Times New Roman"/>
          <w:sz w:val="20"/>
        </w:rPr>
        <w:t xml:space="preserve">W Lawrence, J-A Tarr, N Brook and others, 'Parametric Insurance' </w:t>
      </w:r>
      <w:proofErr w:type="spellStart"/>
      <w:r w:rsidRPr="00B41F17">
        <w:rPr>
          <w:rFonts w:ascii="Times New Roman" w:hAnsi="Times New Roman"/>
          <w:sz w:val="20"/>
        </w:rPr>
        <w:t>ch</w:t>
      </w:r>
      <w:proofErr w:type="spellEnd"/>
      <w:r w:rsidRPr="00B41F17">
        <w:rPr>
          <w:rFonts w:ascii="Times New Roman" w:hAnsi="Times New Roman"/>
          <w:sz w:val="20"/>
        </w:rPr>
        <w:t xml:space="preserve"> 6 in Tarr and others (n </w:t>
      </w:r>
      <w:r w:rsidR="002B53CB">
        <w:rPr>
          <w:rFonts w:ascii="Times New Roman" w:hAnsi="Times New Roman" w:cs="Times New Roman"/>
          <w:sz w:val="20"/>
          <w:szCs w:val="20"/>
        </w:rPr>
        <w:t>20</w:t>
      </w:r>
      <w:r w:rsidRPr="00B41F17">
        <w:rPr>
          <w:rFonts w:ascii="Times New Roman" w:hAnsi="Times New Roman"/>
          <w:sz w:val="20"/>
        </w:rPr>
        <w:t xml:space="preserve">) 127; F Arnold-Dwyer, </w:t>
      </w:r>
      <w:r w:rsidRPr="00B41F17">
        <w:rPr>
          <w:rFonts w:ascii="Times New Roman" w:hAnsi="Times New Roman"/>
          <w:i/>
          <w:sz w:val="20"/>
        </w:rPr>
        <w:t>Insurable Interest and the Law</w:t>
      </w:r>
      <w:r w:rsidRPr="00B41F17">
        <w:rPr>
          <w:rFonts w:ascii="Times New Roman" w:hAnsi="Times New Roman"/>
          <w:sz w:val="20"/>
        </w:rPr>
        <w:t xml:space="preserve"> (Routledge 2020) </w:t>
      </w:r>
      <w:proofErr w:type="spellStart"/>
      <w:r w:rsidRPr="00B41F17">
        <w:rPr>
          <w:rFonts w:ascii="Times New Roman" w:hAnsi="Times New Roman"/>
          <w:sz w:val="20"/>
        </w:rPr>
        <w:t>ch</w:t>
      </w:r>
      <w:proofErr w:type="spellEnd"/>
      <w:r w:rsidRPr="00B41F17">
        <w:rPr>
          <w:rFonts w:ascii="Times New Roman" w:hAnsi="Times New Roman"/>
          <w:sz w:val="20"/>
        </w:rPr>
        <w:t xml:space="preserve"> 5. Arnold-Dwyer's monograph is the leading treatment of insurable interest doctrine under English law; the question of how insurable interest applies to parametric products is noted as unresolved at MacGillivray (n </w:t>
      </w:r>
      <w:r w:rsidR="00A563A5">
        <w:rPr>
          <w:rFonts w:ascii="Times New Roman" w:hAnsi="Times New Roman" w:cs="Times New Roman"/>
          <w:sz w:val="20"/>
          <w:szCs w:val="20"/>
        </w:rPr>
        <w:t>9</w:t>
      </w:r>
      <w:r w:rsidRPr="00B41F17">
        <w:rPr>
          <w:rFonts w:ascii="Times New Roman" w:hAnsi="Times New Roman"/>
          <w:sz w:val="20"/>
        </w:rPr>
        <w:t>) paras 1-033 to 1-041.</w:t>
      </w:r>
    </w:p>
  </w:footnote>
  <w:footnote w:id="40">
    <w:p w14:paraId="52CC29E2" w14:textId="55F6E0BD"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D11DA8">
        <w:rPr>
          <w:rFonts w:ascii="Times New Roman" w:hAnsi="Times New Roman" w:cs="Times New Roman"/>
          <w:sz w:val="20"/>
          <w:szCs w:val="20"/>
        </w:rPr>
        <w:t xml:space="preserve"> </w:t>
      </w:r>
      <w:r w:rsidRPr="00B41F17">
        <w:rPr>
          <w:rFonts w:ascii="Times New Roman" w:hAnsi="Times New Roman"/>
          <w:sz w:val="20"/>
        </w:rPr>
        <w:t xml:space="preserve">But see, as against this, the arguably analogous question regarding gaming contracts resolved by Financial Services and Markets Act 2000, s 412; and generally, Joanna Benjamin, </w:t>
      </w:r>
      <w:r w:rsidRPr="00B41F17">
        <w:rPr>
          <w:rFonts w:ascii="Times New Roman" w:hAnsi="Times New Roman"/>
          <w:i/>
          <w:sz w:val="20"/>
        </w:rPr>
        <w:t>Financial Law</w:t>
      </w:r>
      <w:r w:rsidRPr="00B41F17">
        <w:rPr>
          <w:rFonts w:ascii="Times New Roman" w:hAnsi="Times New Roman"/>
          <w:sz w:val="20"/>
        </w:rPr>
        <w:t xml:space="preserve"> (OUP 2007) </w:t>
      </w:r>
      <w:proofErr w:type="spellStart"/>
      <w:r w:rsidRPr="00B41F17">
        <w:rPr>
          <w:rFonts w:ascii="Times New Roman" w:hAnsi="Times New Roman"/>
          <w:sz w:val="20"/>
        </w:rPr>
        <w:t>ch</w:t>
      </w:r>
      <w:proofErr w:type="spellEnd"/>
      <w:r w:rsidRPr="00B41F17">
        <w:rPr>
          <w:rFonts w:ascii="Times New Roman" w:hAnsi="Times New Roman"/>
          <w:sz w:val="20"/>
        </w:rPr>
        <w:t xml:space="preserve"> 18.</w:t>
      </w:r>
    </w:p>
  </w:footnote>
  <w:footnote w:id="41">
    <w:p w14:paraId="567CE5BC" w14:textId="74904C3C" w:rsidR="00796C39" w:rsidRDefault="00796C39" w:rsidP="00796C39">
      <w:pPr>
        <w:pStyle w:val="FootnoteText"/>
      </w:pPr>
      <w:r>
        <w:rPr>
          <w:rStyle w:val="FootnoteReference"/>
        </w:rPr>
        <w:footnoteRef/>
      </w:r>
      <w:r>
        <w:t xml:space="preserve"> </w:t>
      </w:r>
      <w:r w:rsidRPr="00796C39">
        <w:rPr>
          <w:lang w:val="en-GB"/>
        </w:rPr>
        <w:t xml:space="preserve">For detailed analysis of the structural criteria by which a parametric product may be configured either as a contract of insurance or as a derivative instrument, and the legal consequences of each classification, see J Hopkins, 'The Legal Nature of Parametric Insurance: Is It Truly a Contract of Insurance?' </w:t>
      </w:r>
      <w:r w:rsidR="00B41F17">
        <w:rPr>
          <w:lang w:val="en-GB"/>
        </w:rPr>
        <w:t>2026 BILA Journal (forthcoming)</w:t>
      </w:r>
      <w:r w:rsidRPr="00796C39">
        <w:rPr>
          <w:lang w:val="en-GB"/>
        </w:rPr>
        <w:t xml:space="preserve">, who identifies the presence of an insurable interest requirement and a nominal indemnity element as the determinative structural differentiators. On insurable interest as the criterion separating contracts of insurance from derivative instruments, see R Potts QC, </w:t>
      </w:r>
      <w:r w:rsidRPr="00796C39">
        <w:rPr>
          <w:i/>
          <w:iCs/>
          <w:lang w:val="en-GB"/>
        </w:rPr>
        <w:t>Opinion for the International Swaps and Derivatives Association</w:t>
      </w:r>
      <w:r w:rsidRPr="00796C39">
        <w:rPr>
          <w:lang w:val="en-GB"/>
        </w:rPr>
        <w:t xml:space="preserve"> (ISDA, 1997). The Law Commissions noted that industry participants sought to preserve flexibility to structure parametric products as either instrument, a preference that itself reflects the regulatory and fiscal stakes of the classification: Law Commission and Scottish Law Commission, </w:t>
      </w:r>
      <w:r w:rsidRPr="00796C39">
        <w:rPr>
          <w:i/>
          <w:iCs/>
          <w:lang w:val="en-GB"/>
        </w:rPr>
        <w:t>Insurance Contract Law: Business Disclosure; Warranties; Insurers' Remedies for Fraudulent Claims; and Late Payment</w:t>
      </w:r>
      <w:r w:rsidRPr="00796C39">
        <w:rPr>
          <w:lang w:val="en-GB"/>
        </w:rPr>
        <w:t xml:space="preserve"> (Law Com No 353, 2014) para </w:t>
      </w:r>
      <w:r>
        <w:rPr>
          <w:lang w:val="en-GB"/>
        </w:rPr>
        <w:t>6.30 – 6.33</w:t>
      </w:r>
      <w:r w:rsidRPr="00796C39">
        <w:rPr>
          <w:lang w:val="en-GB"/>
        </w:rPr>
        <w:t>.</w:t>
      </w:r>
    </w:p>
  </w:footnote>
  <w:footnote w:id="42">
    <w:p w14:paraId="7D6F9F09" w14:textId="3847F34B"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Pr="00B41F17">
        <w:rPr>
          <w:rFonts w:ascii="Times New Roman" w:hAnsi="Times New Roman"/>
          <w:sz w:val="20"/>
        </w:rPr>
        <w:t xml:space="preserve"> N Brook, W Lawrence and Z </w:t>
      </w:r>
      <w:proofErr w:type="spellStart"/>
      <w:r w:rsidRPr="00B41F17">
        <w:rPr>
          <w:rFonts w:ascii="Times New Roman" w:hAnsi="Times New Roman"/>
          <w:sz w:val="20"/>
        </w:rPr>
        <w:t>Sedilekova</w:t>
      </w:r>
      <w:proofErr w:type="spellEnd"/>
      <w:r w:rsidRPr="00B41F17">
        <w:rPr>
          <w:rFonts w:ascii="Times New Roman" w:hAnsi="Times New Roman"/>
          <w:sz w:val="20"/>
        </w:rPr>
        <w:t xml:space="preserve">, 'Climate Change and Insurance' </w:t>
      </w:r>
      <w:proofErr w:type="spellStart"/>
      <w:r w:rsidRPr="00B41F17">
        <w:rPr>
          <w:rFonts w:ascii="Times New Roman" w:hAnsi="Times New Roman"/>
          <w:sz w:val="20"/>
        </w:rPr>
        <w:t>ch</w:t>
      </w:r>
      <w:proofErr w:type="spellEnd"/>
      <w:r w:rsidRPr="00B41F17">
        <w:rPr>
          <w:rFonts w:ascii="Times New Roman" w:hAnsi="Times New Roman"/>
          <w:sz w:val="20"/>
        </w:rPr>
        <w:t xml:space="preserve"> 14, in  A </w:t>
      </w:r>
      <w:proofErr w:type="spellStart"/>
      <w:r w:rsidRPr="00B41F17">
        <w:rPr>
          <w:rFonts w:ascii="Times New Roman" w:hAnsi="Times New Roman"/>
          <w:sz w:val="20"/>
        </w:rPr>
        <w:t>A</w:t>
      </w:r>
      <w:proofErr w:type="spellEnd"/>
      <w:r w:rsidRPr="00B41F17">
        <w:rPr>
          <w:rFonts w:ascii="Times New Roman" w:hAnsi="Times New Roman"/>
          <w:sz w:val="20"/>
        </w:rPr>
        <w:t xml:space="preserve"> Tarr and others (</w:t>
      </w:r>
      <w:r w:rsidR="00873440">
        <w:rPr>
          <w:rFonts w:ascii="Times New Roman" w:hAnsi="Times New Roman" w:cs="Times New Roman"/>
          <w:sz w:val="20"/>
          <w:szCs w:val="20"/>
        </w:rPr>
        <w:t>n 2</w:t>
      </w:r>
      <w:r w:rsidR="00B41F17">
        <w:rPr>
          <w:rFonts w:ascii="Times New Roman" w:hAnsi="Times New Roman" w:cs="Times New Roman"/>
          <w:sz w:val="20"/>
          <w:szCs w:val="20"/>
        </w:rPr>
        <w:t>1</w:t>
      </w:r>
      <w:r w:rsidRPr="00EB5F70">
        <w:rPr>
          <w:rFonts w:ascii="Times New Roman" w:hAnsi="Times New Roman" w:cs="Times New Roman"/>
          <w:sz w:val="20"/>
          <w:szCs w:val="20"/>
        </w:rPr>
        <w:t>), 409.</w:t>
      </w:r>
    </w:p>
  </w:footnote>
  <w:footnote w:id="43">
    <w:p w14:paraId="3E35179A" w14:textId="6E07C6D3" w:rsidR="00EB5F70" w:rsidRPr="00B41F17" w:rsidRDefault="00EB5F70" w:rsidP="00EB5F70">
      <w:pPr>
        <w:rPr>
          <w:rFonts w:ascii="Times New Roman" w:hAnsi="Times New Roman"/>
          <w:color w:val="0A0A0A"/>
          <w:sz w:val="20"/>
          <w:shd w:val="clear" w:color="auto" w:fill="FFFFFF"/>
        </w:rPr>
      </w:pPr>
      <w:r w:rsidRPr="00B41F17">
        <w:rPr>
          <w:rStyle w:val="FootnoteReference"/>
          <w:rFonts w:ascii="Times New Roman" w:hAnsi="Times New Roman"/>
          <w:sz w:val="20"/>
        </w:rPr>
        <w:footnoteRef/>
      </w:r>
      <w:r w:rsidRPr="00B41F17">
        <w:rPr>
          <w:rFonts w:ascii="Times New Roman" w:hAnsi="Times New Roman"/>
          <w:sz w:val="20"/>
        </w:rPr>
        <w:t xml:space="preserve"> </w:t>
      </w:r>
      <w:r w:rsidRPr="00B41F17">
        <w:rPr>
          <w:rFonts w:ascii="Times New Roman" w:hAnsi="Times New Roman"/>
          <w:color w:val="0A0A0A"/>
          <w:sz w:val="20"/>
          <w:shd w:val="clear" w:color="auto" w:fill="FFFFFF"/>
        </w:rPr>
        <w:t>P.C.D. Milly et al., </w:t>
      </w:r>
      <w:r w:rsidRPr="00B41F17">
        <w:rPr>
          <w:rStyle w:val="Emphasis"/>
          <w:rFonts w:ascii="Times New Roman" w:hAnsi="Times New Roman"/>
          <w:i w:val="0"/>
          <w:color w:val="0A0A0A"/>
          <w:sz w:val="20"/>
          <w:shd w:val="clear" w:color="auto" w:fill="FFFFFF"/>
        </w:rPr>
        <w:t>Stationarity Is Dead: Whither Water Management?</w:t>
      </w:r>
      <w:r w:rsidRPr="00B41F17">
        <w:rPr>
          <w:rFonts w:ascii="Times New Roman" w:hAnsi="Times New Roman"/>
          <w:i/>
          <w:color w:val="0A0A0A"/>
          <w:sz w:val="20"/>
          <w:shd w:val="clear" w:color="auto" w:fill="FFFFFF"/>
        </w:rPr>
        <w:t>,</w:t>
      </w:r>
      <w:r w:rsidRPr="00B41F17">
        <w:rPr>
          <w:rFonts w:ascii="Times New Roman" w:hAnsi="Times New Roman"/>
          <w:color w:val="0A0A0A"/>
          <w:sz w:val="20"/>
          <w:shd w:val="clear" w:color="auto" w:fill="FFFFFF"/>
        </w:rPr>
        <w:t xml:space="preserve"> 319 </w:t>
      </w:r>
      <w:r w:rsidRPr="00B41F17">
        <w:rPr>
          <w:rStyle w:val="Strong"/>
          <w:rFonts w:ascii="Times New Roman" w:hAnsi="Times New Roman"/>
          <w:b w:val="0"/>
          <w:color w:val="0A0A0A"/>
          <w:sz w:val="20"/>
          <w:shd w:val="clear" w:color="auto" w:fill="FFFFFF"/>
        </w:rPr>
        <w:t>Science</w:t>
      </w:r>
      <w:r w:rsidRPr="00B41F17">
        <w:rPr>
          <w:rFonts w:ascii="Times New Roman" w:hAnsi="Times New Roman"/>
          <w:b/>
          <w:color w:val="0A0A0A"/>
          <w:sz w:val="20"/>
          <w:shd w:val="clear" w:color="auto" w:fill="FFFFFF"/>
        </w:rPr>
        <w:t> </w:t>
      </w:r>
      <w:r w:rsidRPr="00B41F17">
        <w:rPr>
          <w:rFonts w:ascii="Times New Roman" w:hAnsi="Times New Roman"/>
          <w:color w:val="0A0A0A"/>
          <w:sz w:val="20"/>
          <w:shd w:val="clear" w:color="auto" w:fill="FFFFFF"/>
        </w:rPr>
        <w:t xml:space="preserve">573 (2008); </w:t>
      </w:r>
      <w:r w:rsidR="0055537F">
        <w:rPr>
          <w:rFonts w:ascii="Times New Roman" w:hAnsi="Times New Roman" w:cs="Times New Roman"/>
          <w:color w:val="0A0A0A"/>
          <w:sz w:val="20"/>
          <w:szCs w:val="20"/>
          <w:shd w:val="clear" w:color="auto" w:fill="FFFFFF"/>
        </w:rPr>
        <w:t>&lt;</w:t>
      </w:r>
      <w:hyperlink r:id="rId7" w:history="1">
        <w:r w:rsidRPr="00B41F17">
          <w:rPr>
            <w:rStyle w:val="Hyperlink"/>
            <w:rFonts w:ascii="Times New Roman" w:hAnsi="Times New Roman"/>
            <w:sz w:val="20"/>
            <w:shd w:val="clear" w:color="auto" w:fill="FFFFFF"/>
          </w:rPr>
          <w:t>https://www.law.berkeley.edu/files/CLEE/Milly_2008_Science_StationarityIsDead.pdf</w:t>
        </w:r>
      </w:hyperlink>
      <w:r w:rsidR="0055537F">
        <w:t xml:space="preserve">&gt; </w:t>
      </w:r>
      <w:r w:rsidR="0055537F" w:rsidRPr="0055537F">
        <w:rPr>
          <w:rFonts w:ascii="Times New Roman" w:hAnsi="Times New Roman" w:cs="Times New Roman"/>
          <w:sz w:val="20"/>
          <w:szCs w:val="20"/>
        </w:rPr>
        <w:t>accessed March 2026</w:t>
      </w:r>
    </w:p>
    <w:p w14:paraId="7EF919B9" w14:textId="53067C40" w:rsidR="00EB5F70" w:rsidRPr="00B41F17" w:rsidRDefault="00EB5F70" w:rsidP="00EB5F70">
      <w:pPr>
        <w:rPr>
          <w:rFonts w:ascii="Times New Roman" w:hAnsi="Times New Roman"/>
          <w:sz w:val="20"/>
          <w:lang w:val="en-US"/>
        </w:rPr>
      </w:pPr>
      <w:r w:rsidRPr="00B41F17">
        <w:rPr>
          <w:rFonts w:ascii="Times New Roman" w:hAnsi="Times New Roman"/>
          <w:color w:val="0A0A0A"/>
          <w:sz w:val="20"/>
          <w:shd w:val="clear" w:color="auto" w:fill="FFFFFF"/>
        </w:rPr>
        <w:t>Robin Kundis Craig, “Stationarity Is Dead” — Long Live Transformation: Five Principles for Climate Change Adaptation Law, 34 Harvard Environmental Law Review 9 (2010</w:t>
      </w:r>
      <w:r w:rsidRPr="00EB5F70">
        <w:rPr>
          <w:rFonts w:ascii="Times New Roman" w:hAnsi="Times New Roman" w:cs="Times New Roman"/>
          <w:color w:val="0A0A0A"/>
          <w:sz w:val="20"/>
          <w:szCs w:val="20"/>
          <w:shd w:val="clear" w:color="auto" w:fill="FFFFFF"/>
        </w:rPr>
        <w:t>)</w:t>
      </w:r>
      <w:r w:rsidR="0055537F">
        <w:rPr>
          <w:rFonts w:ascii="Times New Roman" w:hAnsi="Times New Roman" w:cs="Times New Roman"/>
          <w:color w:val="0A0A0A"/>
          <w:sz w:val="20"/>
          <w:szCs w:val="20"/>
          <w:shd w:val="clear" w:color="auto" w:fill="FFFFFF"/>
        </w:rPr>
        <w:t xml:space="preserve"> &lt;</w:t>
      </w:r>
      <w:hyperlink r:id="rId8" w:history="1">
        <w:r w:rsidRPr="00132B6E">
          <w:rPr>
            <w:rStyle w:val="Hyperlink"/>
            <w:rFonts w:ascii="Times New Roman" w:hAnsi="Times New Roman" w:cs="Times New Roman"/>
            <w:sz w:val="20"/>
            <w:szCs w:val="20"/>
            <w:lang w:val="en-US"/>
          </w:rPr>
          <w:t>https://journals.law.harvard.edu/elr/wp-content/uploads/sites/79/2019/08/34.1-Craig.pdf</w:t>
        </w:r>
      </w:hyperlink>
      <w:r w:rsidR="0055537F">
        <w:rPr>
          <w:rFonts w:ascii="Times New Roman" w:hAnsi="Times New Roman" w:cs="Times New Roman"/>
          <w:sz w:val="20"/>
          <w:szCs w:val="20"/>
          <w:lang w:val="en-US"/>
        </w:rPr>
        <w:t xml:space="preserve">&gt; </w:t>
      </w:r>
      <w:r w:rsidR="0055537F" w:rsidRPr="0055537F">
        <w:rPr>
          <w:rFonts w:ascii="Times New Roman" w:hAnsi="Times New Roman" w:cs="Times New Roman"/>
          <w:sz w:val="20"/>
          <w:szCs w:val="20"/>
          <w:lang w:val="en-US"/>
        </w:rPr>
        <w:t>accessed March 2026</w:t>
      </w:r>
    </w:p>
  </w:footnote>
  <w:footnote w:id="44">
    <w:p w14:paraId="355CC891" w14:textId="17066E7A"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D11DA8">
        <w:rPr>
          <w:rFonts w:ascii="Times New Roman" w:hAnsi="Times New Roman" w:cs="Times New Roman"/>
          <w:sz w:val="20"/>
          <w:szCs w:val="20"/>
        </w:rPr>
        <w:t xml:space="preserve"> </w:t>
      </w:r>
      <w:r w:rsidRPr="00B41F17">
        <w:rPr>
          <w:rFonts w:ascii="Times New Roman" w:hAnsi="Times New Roman"/>
          <w:sz w:val="20"/>
        </w:rPr>
        <w:t xml:space="preserve">The stationarity assumption and its failure under conditions of non-stationary climate is examined in Swiss Re Institute, </w:t>
      </w:r>
      <w:r w:rsidRPr="00B41F17">
        <w:rPr>
          <w:rStyle w:val="Emphasis"/>
          <w:rFonts w:ascii="Times New Roman" w:hAnsi="Times New Roman"/>
          <w:i w:val="0"/>
          <w:sz w:val="20"/>
        </w:rPr>
        <w:t>sigma</w:t>
      </w:r>
      <w:r w:rsidRPr="00B41F17">
        <w:rPr>
          <w:rFonts w:ascii="Times New Roman" w:hAnsi="Times New Roman"/>
          <w:i/>
          <w:sz w:val="20"/>
        </w:rPr>
        <w:t xml:space="preserve"> </w:t>
      </w:r>
      <w:r w:rsidRPr="00B41F17">
        <w:rPr>
          <w:rFonts w:ascii="Times New Roman" w:hAnsi="Times New Roman"/>
          <w:sz w:val="20"/>
        </w:rPr>
        <w:t>1/2025</w:t>
      </w:r>
      <w:r w:rsidR="008B2E45">
        <w:rPr>
          <w:rFonts w:ascii="Times New Roman" w:hAnsi="Times New Roman" w:cs="Times New Roman"/>
          <w:sz w:val="20"/>
          <w:szCs w:val="20"/>
        </w:rPr>
        <w:t xml:space="preserve"> (n 31),</w:t>
      </w:r>
      <w:r w:rsidRPr="00B41F17">
        <w:rPr>
          <w:rFonts w:ascii="Times New Roman" w:hAnsi="Times New Roman"/>
          <w:sz w:val="20"/>
        </w:rPr>
        <w:t xml:space="preserve"> 8–11. Swiss Re Institute</w:t>
      </w:r>
      <w:r w:rsidR="002F626C" w:rsidRPr="00B41F17">
        <w:rPr>
          <w:rFonts w:ascii="Times New Roman" w:hAnsi="Times New Roman"/>
          <w:sz w:val="20"/>
        </w:rPr>
        <w:t xml:space="preserve">, </w:t>
      </w:r>
      <w:r w:rsidR="002F626C" w:rsidRPr="00B41F17">
        <w:rPr>
          <w:rFonts w:ascii="Times New Roman" w:hAnsi="Times New Roman"/>
        </w:rPr>
        <w:t>sigma</w:t>
      </w:r>
      <w:r w:rsidR="002F626C" w:rsidRPr="00B41F17">
        <w:rPr>
          <w:rFonts w:ascii="Times New Roman" w:hAnsi="Times New Roman"/>
          <w:sz w:val="20"/>
        </w:rPr>
        <w:t xml:space="preserve"> 1/2024</w:t>
      </w:r>
      <w:r w:rsidR="008B2E45">
        <w:rPr>
          <w:rFonts w:ascii="Times New Roman" w:hAnsi="Times New Roman" w:cs="Times New Roman"/>
          <w:sz w:val="20"/>
          <w:szCs w:val="20"/>
        </w:rPr>
        <w:t xml:space="preserve"> (n 3</w:t>
      </w:r>
      <w:r w:rsidR="00B41F17">
        <w:rPr>
          <w:rFonts w:ascii="Times New Roman" w:hAnsi="Times New Roman" w:cs="Times New Roman"/>
          <w:sz w:val="20"/>
          <w:szCs w:val="20"/>
        </w:rPr>
        <w:t>4</w:t>
      </w:r>
      <w:r w:rsidR="008B2E45" w:rsidRPr="00B41F17">
        <w:rPr>
          <w:rFonts w:ascii="Times New Roman" w:hAnsi="Times New Roman"/>
          <w:sz w:val="20"/>
        </w:rPr>
        <w:t>)</w:t>
      </w:r>
      <w:r w:rsidRPr="00B41F17">
        <w:rPr>
          <w:rFonts w:ascii="Times New Roman" w:hAnsi="Times New Roman"/>
          <w:sz w:val="20"/>
        </w:rPr>
        <w:t xml:space="preserve"> records that the medium-severity event category has shown average annual frequency growth of 7.5 per cent over the preceding 30 years, directly undermining the stationarity basis of retrospective pricing </w:t>
      </w:r>
      <w:r w:rsidR="0055537F">
        <w:rPr>
          <w:rFonts w:ascii="Times New Roman" w:hAnsi="Times New Roman" w:cs="Times New Roman"/>
          <w:sz w:val="20"/>
          <w:szCs w:val="20"/>
        </w:rPr>
        <w:t>&lt;</w:t>
      </w:r>
      <w:hyperlink r:id="rId9" w:history="1">
        <w:r w:rsidRPr="002F626C">
          <w:rPr>
            <w:rStyle w:val="Hyperlink"/>
            <w:rFonts w:ascii="Times New Roman" w:hAnsi="Times New Roman" w:cs="Times New Roman"/>
            <w:sz w:val="20"/>
            <w:szCs w:val="20"/>
          </w:rPr>
          <w:t>https://www.swissre.com/institute/research/sigma-research/sigma-2025-01-natural-catastrophes-trend.html</w:t>
        </w:r>
      </w:hyperlink>
      <w:r w:rsidR="0055537F">
        <w:rPr>
          <w:rFonts w:ascii="Times New Roman" w:hAnsi="Times New Roman" w:cs="Times New Roman"/>
          <w:sz w:val="20"/>
          <w:szCs w:val="20"/>
        </w:rPr>
        <w:t>&gt;</w:t>
      </w:r>
      <w:r w:rsidR="002F626C">
        <w:rPr>
          <w:rFonts w:ascii="Times New Roman" w:hAnsi="Times New Roman" w:cs="Times New Roman"/>
          <w:sz w:val="20"/>
          <w:szCs w:val="20"/>
        </w:rPr>
        <w:t xml:space="preserve"> </w:t>
      </w:r>
      <w:r w:rsidR="002F626C" w:rsidRPr="002F626C">
        <w:rPr>
          <w:rFonts w:ascii="Times New Roman" w:hAnsi="Times New Roman" w:cs="Times New Roman"/>
          <w:sz w:val="20"/>
          <w:szCs w:val="20"/>
        </w:rPr>
        <w:t>accessed March 2026</w:t>
      </w:r>
    </w:p>
  </w:footnote>
  <w:footnote w:id="45">
    <w:p w14:paraId="43872DFB" w14:textId="0D7FA8A7"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D11DA8">
        <w:rPr>
          <w:rFonts w:ascii="Times New Roman" w:hAnsi="Times New Roman" w:cs="Times New Roman"/>
          <w:sz w:val="20"/>
          <w:szCs w:val="20"/>
        </w:rPr>
        <w:t xml:space="preserve"> </w:t>
      </w:r>
      <w:r w:rsidRPr="00B41F17">
        <w:rPr>
          <w:rFonts w:ascii="Times New Roman" w:hAnsi="Times New Roman"/>
          <w:sz w:val="20"/>
        </w:rPr>
        <w:t xml:space="preserve">California Department of Insurance, 'Commissioner Lara Announces Next Phase of Sustainable Insurance Strategy' (Press Release, 26 March 2024) </w:t>
      </w:r>
      <w:r w:rsidRPr="00EB5F70">
        <w:rPr>
          <w:rFonts w:ascii="Times New Roman" w:hAnsi="Times New Roman" w:cs="Times New Roman"/>
          <w:sz w:val="20"/>
          <w:szCs w:val="20"/>
        </w:rPr>
        <w:t>&lt;</w:t>
      </w:r>
      <w:hyperlink r:id="rId10" w:history="1">
        <w:r w:rsidRPr="002F626C">
          <w:rPr>
            <w:rStyle w:val="Hyperlink"/>
            <w:rFonts w:ascii="Times New Roman" w:hAnsi="Times New Roman" w:cs="Times New Roman"/>
            <w:sz w:val="20"/>
            <w:szCs w:val="20"/>
          </w:rPr>
          <w:t>www.insurance.ca.gov</w:t>
        </w:r>
      </w:hyperlink>
      <w:r w:rsidRPr="00EB5F70">
        <w:rPr>
          <w:rFonts w:ascii="Times New Roman" w:hAnsi="Times New Roman" w:cs="Times New Roman"/>
          <w:sz w:val="20"/>
          <w:szCs w:val="20"/>
        </w:rPr>
        <w:t>&gt;</w:t>
      </w:r>
      <w:r w:rsidRPr="00B41F17">
        <w:rPr>
          <w:rFonts w:ascii="Times New Roman" w:hAnsi="Times New Roman"/>
          <w:sz w:val="20"/>
        </w:rPr>
        <w:t xml:space="preserve"> </w:t>
      </w:r>
      <w:bookmarkStart w:id="0" w:name="_Hlk225927208"/>
      <w:r w:rsidRPr="00B41F17">
        <w:rPr>
          <w:rFonts w:ascii="Times New Roman" w:hAnsi="Times New Roman"/>
          <w:sz w:val="20"/>
        </w:rPr>
        <w:t>accessed March 2026</w:t>
      </w:r>
      <w:bookmarkEnd w:id="0"/>
      <w:r w:rsidRPr="00B41F17">
        <w:rPr>
          <w:rFonts w:ascii="Times New Roman" w:hAnsi="Times New Roman"/>
          <w:sz w:val="20"/>
        </w:rPr>
        <w:t xml:space="preserve">. The CDI confirmed that for more than 30 years California regulations required insurers to apply a catastrophe factor to rates based on historical wildfire losses and excluded forward-looking catastrophe modelling. See further N Brook, W Lawrence and Z </w:t>
      </w:r>
      <w:proofErr w:type="spellStart"/>
      <w:r w:rsidRPr="00B41F17">
        <w:rPr>
          <w:rFonts w:ascii="Times New Roman" w:hAnsi="Times New Roman"/>
          <w:sz w:val="20"/>
        </w:rPr>
        <w:t>Sedilekova</w:t>
      </w:r>
      <w:proofErr w:type="spellEnd"/>
      <w:r w:rsidRPr="00B41F17">
        <w:rPr>
          <w:rFonts w:ascii="Times New Roman" w:hAnsi="Times New Roman"/>
          <w:sz w:val="20"/>
        </w:rPr>
        <w:t xml:space="preserve">, 'Climate Change and Insurance' </w:t>
      </w:r>
      <w:proofErr w:type="spellStart"/>
      <w:r w:rsidRPr="00B41F17">
        <w:rPr>
          <w:rFonts w:ascii="Times New Roman" w:hAnsi="Times New Roman"/>
          <w:sz w:val="20"/>
        </w:rPr>
        <w:t>ch</w:t>
      </w:r>
      <w:proofErr w:type="spellEnd"/>
      <w:r w:rsidRPr="00B41F17">
        <w:rPr>
          <w:rFonts w:ascii="Times New Roman" w:hAnsi="Times New Roman"/>
          <w:sz w:val="20"/>
        </w:rPr>
        <w:t xml:space="preserve"> 14 in Tarr and others (n </w:t>
      </w:r>
      <w:r w:rsidR="002F626C">
        <w:rPr>
          <w:rFonts w:ascii="Times New Roman" w:hAnsi="Times New Roman" w:cs="Times New Roman"/>
          <w:sz w:val="20"/>
          <w:szCs w:val="20"/>
        </w:rPr>
        <w:t>2</w:t>
      </w:r>
      <w:r w:rsidR="00B41F17">
        <w:rPr>
          <w:rFonts w:ascii="Times New Roman" w:hAnsi="Times New Roman" w:cs="Times New Roman"/>
          <w:sz w:val="20"/>
          <w:szCs w:val="20"/>
        </w:rPr>
        <w:t>1</w:t>
      </w:r>
      <w:r w:rsidRPr="00B41F17">
        <w:rPr>
          <w:rFonts w:ascii="Times New Roman" w:hAnsi="Times New Roman"/>
          <w:sz w:val="20"/>
        </w:rPr>
        <w:t>) 409, 420–427.</w:t>
      </w:r>
    </w:p>
  </w:footnote>
  <w:footnote w:id="46">
    <w:p w14:paraId="33FBBEB7" w14:textId="0F16ECBD" w:rsidR="00EB5F70" w:rsidRPr="00B41F17" w:rsidRDefault="00EB5F70" w:rsidP="00EB5F70">
      <w:pPr>
        <w:pStyle w:val="FootnoteText"/>
        <w:rPr>
          <w:lang w:val="en-US"/>
        </w:rPr>
      </w:pPr>
      <w:r w:rsidRPr="00EB5F70">
        <w:rPr>
          <w:rStyle w:val="FootnoteReference"/>
          <w:rFonts w:eastAsiaTheme="majorEastAsia"/>
        </w:rPr>
        <w:footnoteRef/>
      </w:r>
      <w:r w:rsidRPr="00EB5F70">
        <w:t xml:space="preserve"> </w:t>
      </w:r>
      <w:r w:rsidRPr="00B41F17">
        <w:t xml:space="preserve">Nigel Brook, Wynne Lawrence, Edward Langelier &amp; Bill Marcoix, Insurance Development Forum, How Technology Can Help Bridge the Protection Gap (IDF 2020) </w:t>
      </w:r>
      <w:r w:rsidR="00FF19A3">
        <w:t>&lt;</w:t>
      </w:r>
      <w:hyperlink r:id="rId11" w:history="1">
        <w:r w:rsidRPr="00FF19A3">
          <w:rPr>
            <w:rStyle w:val="Hyperlink"/>
          </w:rPr>
          <w:t>https://www.insdevforum.org/wp-content/uploads/2020/08/How-technology-can-help-bridge-the-protection-gap-report-.pdf</w:t>
        </w:r>
      </w:hyperlink>
      <w:r w:rsidR="00FF19A3">
        <w:t xml:space="preserve">&gt; </w:t>
      </w:r>
      <w:r w:rsidR="00FF19A3" w:rsidRPr="00FF19A3">
        <w:t>accessed March 2026</w:t>
      </w:r>
    </w:p>
    <w:p w14:paraId="5BD045B9" w14:textId="77777777" w:rsidR="00EB5F70" w:rsidRPr="00EB5F70" w:rsidRDefault="00EB5F70" w:rsidP="00EB5F70">
      <w:pPr>
        <w:pStyle w:val="FootnoteText"/>
        <w:rPr>
          <w:lang w:val="en-US"/>
        </w:rPr>
      </w:pPr>
    </w:p>
  </w:footnote>
  <w:footnote w:id="47">
    <w:p w14:paraId="600FC2D7" w14:textId="5542FDF4" w:rsidR="00EB5F70" w:rsidRPr="00B41F17" w:rsidRDefault="00EB5F70" w:rsidP="00EB5F70">
      <w:pPr>
        <w:pStyle w:val="FootnoteText"/>
      </w:pPr>
      <w:r w:rsidRPr="00B41F17">
        <w:rPr>
          <w:rStyle w:val="FootnoteReference"/>
          <w:rFonts w:eastAsiaTheme="majorEastAsia"/>
        </w:rPr>
        <w:footnoteRef/>
      </w:r>
      <w:r w:rsidRPr="00B41F17">
        <w:t xml:space="preserve"> The argument that parametric and catastrophe model-based pricing can incorporate mitigation credits is developed in W Lawrence, J-A Tarr, N Brook and others, 'Parametric Insurance' </w:t>
      </w:r>
      <w:proofErr w:type="spellStart"/>
      <w:r w:rsidRPr="00B41F17">
        <w:t>ch</w:t>
      </w:r>
      <w:proofErr w:type="spellEnd"/>
      <w:r w:rsidRPr="00B41F17">
        <w:t xml:space="preserve"> 6 in A </w:t>
      </w:r>
      <w:proofErr w:type="spellStart"/>
      <w:r w:rsidRPr="00B41F17">
        <w:t>A</w:t>
      </w:r>
      <w:proofErr w:type="spellEnd"/>
      <w:r w:rsidRPr="00B41F17">
        <w:t xml:space="preserve"> Tarr and others </w:t>
      </w:r>
      <w:r w:rsidR="00FF19A3" w:rsidRPr="00B41F17">
        <w:t>(</w:t>
      </w:r>
      <w:r w:rsidR="00FF19A3">
        <w:t>n 2</w:t>
      </w:r>
      <w:r w:rsidR="00B41F17">
        <w:t>1</w:t>
      </w:r>
      <w:r w:rsidR="00FF19A3" w:rsidRPr="00B41F17">
        <w:t xml:space="preserve">) </w:t>
      </w:r>
      <w:r w:rsidRPr="00B41F17">
        <w:t>127, 143–148; and F Arnold-Dwyer</w:t>
      </w:r>
      <w:r w:rsidR="00806E07">
        <w:t xml:space="preserve"> (n 3</w:t>
      </w:r>
      <w:r w:rsidR="00B41F17">
        <w:t>3</w:t>
      </w:r>
      <w:r w:rsidR="00806E07">
        <w:t>)</w:t>
      </w:r>
      <w:r w:rsidRPr="00EB5F70">
        <w:t>,</w:t>
      </w:r>
      <w:r w:rsidRPr="00B41F17">
        <w:t xml:space="preserve"> </w:t>
      </w:r>
      <w:proofErr w:type="spellStart"/>
      <w:r w:rsidRPr="00B41F17">
        <w:t>ch</w:t>
      </w:r>
      <w:proofErr w:type="spellEnd"/>
      <w:r w:rsidRPr="00B41F17">
        <w:t xml:space="preserve"> 3. N Brook and others, Risk Sharing in the Climate Emergency (University of Cambridge Institute for Sustainability Leadership 2021). The report was launched at COP26 and argues that a more robust, innovative and joined-up policy and regulatory response is required to align climate and financial policies; Brook describes its central thrust as the need for paradigm shifts in the role of insurance in fighting climate change.</w:t>
      </w:r>
    </w:p>
    <w:p w14:paraId="57B29CE1" w14:textId="77777777" w:rsidR="00EB5F70" w:rsidRPr="00B41F17" w:rsidRDefault="00EB5F70" w:rsidP="00EB5F70">
      <w:pPr>
        <w:pStyle w:val="FootnoteText"/>
      </w:pPr>
    </w:p>
  </w:footnote>
  <w:footnote w:id="48">
    <w:p w14:paraId="000D932D" w14:textId="7583F054"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D11DA8">
        <w:rPr>
          <w:rFonts w:ascii="Times New Roman" w:hAnsi="Times New Roman" w:cs="Times New Roman"/>
          <w:sz w:val="20"/>
          <w:szCs w:val="20"/>
        </w:rPr>
        <w:t xml:space="preserve"> </w:t>
      </w:r>
      <w:r w:rsidRPr="00B41F17">
        <w:rPr>
          <w:rFonts w:ascii="Times New Roman" w:hAnsi="Times New Roman"/>
          <w:sz w:val="20"/>
        </w:rPr>
        <w:t xml:space="preserve">N Beresford, 'Emerging Risk Predictions for Insurers in 2026' (Clyde &amp; Co, December 2025) </w:t>
      </w:r>
      <w:r w:rsidR="00FF19A3">
        <w:rPr>
          <w:rFonts w:ascii="Times New Roman" w:hAnsi="Times New Roman" w:cs="Times New Roman"/>
          <w:sz w:val="20"/>
          <w:szCs w:val="20"/>
        </w:rPr>
        <w:t>&lt;</w:t>
      </w:r>
      <w:hyperlink r:id="rId12" w:history="1">
        <w:r w:rsidRPr="00B41F17">
          <w:rPr>
            <w:rStyle w:val="Hyperlink"/>
            <w:rFonts w:ascii="Times New Roman" w:hAnsi="Times New Roman"/>
            <w:sz w:val="20"/>
          </w:rPr>
          <w:t>https://www.clydeco.com/en/news/2025/12/clyde-co-unveils-emerging-risks-for-insurers-in-20</w:t>
        </w:r>
      </w:hyperlink>
      <w:r w:rsidR="00FF19A3" w:rsidRPr="00FF19A3">
        <w:rPr>
          <w:rFonts w:ascii="Times New Roman" w:hAnsi="Times New Roman" w:cs="Times New Roman"/>
          <w:sz w:val="20"/>
          <w:szCs w:val="20"/>
        </w:rPr>
        <w:t>&gt; accessed March 2026</w:t>
      </w:r>
      <w:r w:rsidR="00806E07">
        <w:rPr>
          <w:rFonts w:ascii="Times New Roman" w:hAnsi="Times New Roman" w:cs="Times New Roman"/>
          <w:sz w:val="20"/>
          <w:szCs w:val="20"/>
        </w:rPr>
        <w:t xml:space="preserve">. </w:t>
      </w:r>
      <w:r w:rsidRPr="00B41F17">
        <w:rPr>
          <w:rFonts w:ascii="Times New Roman" w:hAnsi="Times New Roman"/>
          <w:sz w:val="20"/>
        </w:rPr>
        <w:t>The author comments that</w:t>
      </w:r>
      <w:r w:rsidRPr="00B41F17">
        <w:rPr>
          <w:rFonts w:ascii="Times New Roman" w:hAnsi="Times New Roman"/>
          <w:b/>
          <w:color w:val="C00000"/>
          <w:sz w:val="20"/>
        </w:rPr>
        <w:t xml:space="preserve"> </w:t>
      </w:r>
      <w:r w:rsidRPr="00B41F17">
        <w:rPr>
          <w:rFonts w:ascii="Times New Roman" w:hAnsi="Times New Roman"/>
          <w:sz w:val="20"/>
        </w:rPr>
        <w:t xml:space="preserve">"record-high payouts show insurers are honouring policy obligations, but they also highlight growing pressure on a system designed for a different climate reality" (commenting on ABI data showing UK weather-related property claims payouts of GBP 1.2 billion in 2025, a 14% increase on 2024). </w:t>
      </w:r>
    </w:p>
  </w:footnote>
  <w:footnote w:id="49">
    <w:p w14:paraId="23D3D53B" w14:textId="2C70810B"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D11DA8">
        <w:rPr>
          <w:rFonts w:ascii="Times New Roman" w:hAnsi="Times New Roman" w:cs="Times New Roman"/>
          <w:sz w:val="20"/>
          <w:szCs w:val="20"/>
        </w:rPr>
        <w:t xml:space="preserve"> </w:t>
      </w:r>
      <w:r w:rsidRPr="00B41F17">
        <w:rPr>
          <w:rFonts w:ascii="Times New Roman" w:hAnsi="Times New Roman"/>
          <w:sz w:val="20"/>
        </w:rPr>
        <w:t xml:space="preserve">California Insurance Code, ss 1861 et </w:t>
      </w:r>
      <w:proofErr w:type="spellStart"/>
      <w:r w:rsidRPr="00B41F17">
        <w:rPr>
          <w:rFonts w:ascii="Times New Roman" w:hAnsi="Times New Roman"/>
          <w:sz w:val="20"/>
        </w:rPr>
        <w:t>seq</w:t>
      </w:r>
      <w:proofErr w:type="spellEnd"/>
      <w:r w:rsidRPr="00B41F17">
        <w:rPr>
          <w:rFonts w:ascii="Times New Roman" w:hAnsi="Times New Roman"/>
          <w:sz w:val="20"/>
        </w:rPr>
        <w:t xml:space="preserve"> (Proposition 103, Insurance Rate Reduction and Reform Act, enacted by California voters 8 November 1988). The historic data requirement for catastrophe loss factors is confirmed in the CDI December 2024 Press Release (n</w:t>
      </w:r>
      <w:r w:rsidR="00525E06">
        <w:rPr>
          <w:rFonts w:ascii="Times New Roman" w:hAnsi="Times New Roman"/>
          <w:sz w:val="20"/>
        </w:rPr>
        <w:t xml:space="preserve"> 48</w:t>
      </w:r>
      <w:r w:rsidRPr="00B41F17">
        <w:rPr>
          <w:rFonts w:ascii="Times New Roman" w:hAnsi="Times New Roman"/>
          <w:sz w:val="20"/>
        </w:rPr>
        <w:t>).</w:t>
      </w:r>
      <w:r w:rsidR="009732AE">
        <w:rPr>
          <w:rFonts w:ascii="Times New Roman" w:hAnsi="Times New Roman" w:cs="Times New Roman"/>
          <w:sz w:val="20"/>
          <w:szCs w:val="20"/>
        </w:rPr>
        <w:t xml:space="preserve"> </w:t>
      </w:r>
    </w:p>
  </w:footnote>
  <w:footnote w:id="50">
    <w:p w14:paraId="10A7EE89" w14:textId="77777777" w:rsidR="00EB5F70" w:rsidRDefault="00EB5F70" w:rsidP="00EB5F70">
      <w:pPr>
        <w:pStyle w:val="FootnoteText"/>
      </w:pPr>
      <w:r w:rsidRPr="00B41F17">
        <w:rPr>
          <w:rStyle w:val="FootnoteReference"/>
          <w:rFonts w:eastAsiaTheme="majorEastAsia"/>
        </w:rPr>
        <w:footnoteRef/>
      </w:r>
      <w:r w:rsidRPr="00B41F17">
        <w:t xml:space="preserve"> Ibid.</w:t>
      </w:r>
    </w:p>
    <w:p w14:paraId="7F4F3978" w14:textId="77777777" w:rsidR="00031E05" w:rsidRPr="00B41F17" w:rsidRDefault="00031E05" w:rsidP="00EB5F70">
      <w:pPr>
        <w:pStyle w:val="FootnoteText"/>
        <w:rPr>
          <w:lang w:val="en-US"/>
        </w:rPr>
      </w:pPr>
    </w:p>
  </w:footnote>
  <w:footnote w:id="51">
    <w:p w14:paraId="1576C46E" w14:textId="61A7CD4F" w:rsidR="00EB5F70" w:rsidRPr="00B41F17" w:rsidRDefault="00EB5F70" w:rsidP="00EB5F70">
      <w:pPr>
        <w:pStyle w:val="FootnoteText"/>
      </w:pPr>
      <w:r w:rsidRPr="00B41F17">
        <w:rPr>
          <w:rStyle w:val="FootnoteReference"/>
          <w:rFonts w:eastAsiaTheme="majorEastAsia"/>
        </w:rPr>
        <w:footnoteRef/>
      </w:r>
      <w:r w:rsidRPr="00B41F17">
        <w:t xml:space="preserve"> </w:t>
      </w:r>
      <w:r w:rsidRPr="00EB5F70">
        <w:t>C</w:t>
      </w:r>
      <w:r w:rsidR="005E61D8">
        <w:t>al Fire</w:t>
      </w:r>
      <w:r w:rsidRPr="00B41F17">
        <w:t>, Top 20 Most Destructive California Wildfires (California Department of Forestry and Fire Protection, updated 2025) &lt;</w:t>
      </w:r>
      <w:hyperlink r:id="rId13" w:history="1">
        <w:r w:rsidRPr="00B41F17">
          <w:rPr>
            <w:color w:val="0000FF"/>
            <w:u w:val="single"/>
          </w:rPr>
          <w:t>www.fire.ca.gov/our-impact/statistics</w:t>
        </w:r>
      </w:hyperlink>
      <w:r w:rsidRPr="00B41F17">
        <w:t>&gt; accessed March 2026.</w:t>
      </w:r>
    </w:p>
    <w:p w14:paraId="085A6E74" w14:textId="77777777" w:rsidR="00EB5F70" w:rsidRPr="00B41F17" w:rsidRDefault="00EB5F70" w:rsidP="00EB5F70">
      <w:pPr>
        <w:pStyle w:val="FootnoteText"/>
        <w:rPr>
          <w:lang w:val="en-US"/>
        </w:rPr>
      </w:pPr>
    </w:p>
  </w:footnote>
  <w:footnote w:id="52">
    <w:p w14:paraId="104C1E5A" w14:textId="77777777" w:rsidR="00EB5F70" w:rsidRPr="00B41F17" w:rsidRDefault="00EB5F70" w:rsidP="00EB5F70">
      <w:pPr>
        <w:pStyle w:val="FootnoteText"/>
      </w:pPr>
      <w:r w:rsidRPr="00B41F17">
        <w:rPr>
          <w:rStyle w:val="FootnoteReference"/>
          <w:rFonts w:eastAsiaTheme="majorEastAsia"/>
        </w:rPr>
        <w:footnoteRef/>
      </w:r>
      <w:r w:rsidRPr="00B41F17">
        <w:t xml:space="preserve"> California Department of Insurance, 2023 California Property and Casualty Market Share Report (CDI 2024) &lt;</w:t>
      </w:r>
      <w:hyperlink r:id="rId14" w:history="1">
        <w:r w:rsidRPr="00B41F17">
          <w:rPr>
            <w:color w:val="0000FF"/>
            <w:u w:val="single"/>
          </w:rPr>
          <w:t>www.insurance.ca.gov/01-consumers/120-company/04-mrktshare/2023/</w:t>
        </w:r>
      </w:hyperlink>
      <w:r w:rsidRPr="00B41F17">
        <w:t>&gt; accessed March 2026. The seven insurers — State Farm, Allstate, Farmers, USAA, Travelers, Nationwide and Chubb — collectively held just under 35 per cent of the California homeowners insurance market in 2023: see the analysis in Bankrate, 'Limited Home Insurance Options in California as Major Carriers Pull Back' (updated September 2025) &lt;</w:t>
      </w:r>
      <w:hyperlink r:id="rId15" w:history="1">
        <w:r w:rsidRPr="00B41F17">
          <w:rPr>
            <w:color w:val="0000FF"/>
            <w:u w:val="single"/>
          </w:rPr>
          <w:t>www.bankrate.com</w:t>
        </w:r>
      </w:hyperlink>
      <w:r w:rsidRPr="00B41F17">
        <w:t xml:space="preserve">&gt; accessed March 2026; and coverage of individual carrier decisions in Reuters (State Farm, May 2023), </w:t>
      </w:r>
      <w:r w:rsidRPr="00B41F17">
        <w:rPr>
          <w:i/>
        </w:rPr>
        <w:t>San Francisco Chronicle</w:t>
      </w:r>
      <w:r w:rsidRPr="00B41F17">
        <w:t xml:space="preserve"> (Farmers, July 2023) and </w:t>
      </w:r>
      <w:proofErr w:type="spellStart"/>
      <w:r w:rsidRPr="00B41F17">
        <w:rPr>
          <w:i/>
        </w:rPr>
        <w:t>CalMatters</w:t>
      </w:r>
      <w:proofErr w:type="spellEnd"/>
      <w:r w:rsidRPr="00B41F17">
        <w:t xml:space="preserve"> (Allstate, November 2022)</w:t>
      </w:r>
    </w:p>
    <w:p w14:paraId="53351DBD" w14:textId="77777777" w:rsidR="00EB5F70" w:rsidRPr="00B41F17" w:rsidRDefault="00EB5F70" w:rsidP="00EB5F70">
      <w:pPr>
        <w:pStyle w:val="FootnoteText"/>
        <w:rPr>
          <w:lang w:val="en-US"/>
        </w:rPr>
      </w:pPr>
    </w:p>
  </w:footnote>
  <w:footnote w:id="53">
    <w:p w14:paraId="37C2BA98" w14:textId="6D5A770F" w:rsidR="00EB5F70" w:rsidRPr="00B41F17" w:rsidRDefault="00EB5F70" w:rsidP="00EB5F70">
      <w:pPr>
        <w:pStyle w:val="FootnoteText"/>
      </w:pPr>
      <w:r w:rsidRPr="00B41F17">
        <w:rPr>
          <w:rStyle w:val="FootnoteReference"/>
          <w:rFonts w:eastAsiaTheme="majorEastAsia"/>
        </w:rPr>
        <w:footnoteRef/>
      </w:r>
      <w:r w:rsidRPr="00B41F17">
        <w:t xml:space="preserve"> University of Cambridge Institute for Sustainability Leadership (CISL), </w:t>
      </w:r>
      <w:r w:rsidRPr="00B41F17">
        <w:rPr>
          <w:rStyle w:val="Emphasis"/>
          <w:i w:val="0"/>
        </w:rPr>
        <w:t>Risk Sharing in the Climate Emergency: Financial Regulation for a Resilient, Net Zero, Just Transition</w:t>
      </w:r>
      <w:r w:rsidRPr="00B41F17">
        <w:t xml:space="preserve"> (CISL 2021) (co-authored with N Brook and G Summerhayes); T Baker and A Shortland, 'The Government Behind Insurance Governance: Lessons for Ransomware' (2023) 17 Regulation and Governance 290, 294–297; F Arnold-Dwyer</w:t>
      </w:r>
      <w:r w:rsidR="00525E06">
        <w:t xml:space="preserve"> (n 33)</w:t>
      </w:r>
      <w:r w:rsidRPr="00B41F17">
        <w:t xml:space="preserve"> </w:t>
      </w:r>
      <w:proofErr w:type="spellStart"/>
      <w:r w:rsidRPr="00B41F17">
        <w:t>chs</w:t>
      </w:r>
      <w:proofErr w:type="spellEnd"/>
      <w:r w:rsidRPr="00B41F17">
        <w:t xml:space="preserve"> 2–4.</w:t>
      </w:r>
    </w:p>
    <w:p w14:paraId="447D3861" w14:textId="77777777" w:rsidR="00EB5F70" w:rsidRPr="00B41F17" w:rsidRDefault="00EB5F70" w:rsidP="00EB5F70">
      <w:pPr>
        <w:pStyle w:val="FootnoteText"/>
        <w:rPr>
          <w:lang w:val="en-US"/>
        </w:rPr>
      </w:pPr>
    </w:p>
  </w:footnote>
  <w:footnote w:id="54">
    <w:p w14:paraId="12E8AEF1" w14:textId="7B4DC65B"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536240">
        <w:rPr>
          <w:rFonts w:ascii="Times New Roman" w:hAnsi="Times New Roman" w:cs="Times New Roman"/>
          <w:sz w:val="20"/>
          <w:szCs w:val="20"/>
        </w:rPr>
        <w:t xml:space="preserve"> </w:t>
      </w:r>
      <w:r w:rsidRPr="00B41F17">
        <w:rPr>
          <w:rFonts w:ascii="Times New Roman" w:hAnsi="Times New Roman"/>
          <w:sz w:val="20"/>
        </w:rPr>
        <w:t xml:space="preserve">California Insurance Code ss 10090 et </w:t>
      </w:r>
      <w:proofErr w:type="spellStart"/>
      <w:r w:rsidRPr="00B41F17">
        <w:rPr>
          <w:rFonts w:ascii="Times New Roman" w:hAnsi="Times New Roman"/>
          <w:sz w:val="20"/>
        </w:rPr>
        <w:t>seq</w:t>
      </w:r>
      <w:proofErr w:type="spellEnd"/>
      <w:r w:rsidRPr="00B41F17">
        <w:rPr>
          <w:rFonts w:ascii="Times New Roman" w:hAnsi="Times New Roman"/>
          <w:sz w:val="20"/>
        </w:rPr>
        <w:t>; the California FAIR Plan Association was established by statutory amendment in August 1968 following the riots and brush fires of the 1960s: California FAIR Plan Association, 'About the FAIR Plan' &lt;</w:t>
      </w:r>
      <w:hyperlink r:id="rId16" w:history="1">
        <w:r w:rsidRPr="00B41F17">
          <w:rPr>
            <w:rFonts w:ascii="Times New Roman" w:hAnsi="Times New Roman"/>
            <w:color w:val="0000FF"/>
            <w:sz w:val="20"/>
            <w:u w:val="single"/>
          </w:rPr>
          <w:t>www.cfpnet.com/about-fair-plan</w:t>
        </w:r>
      </w:hyperlink>
      <w:r w:rsidRPr="00B41F17">
        <w:rPr>
          <w:rFonts w:ascii="Times New Roman" w:hAnsi="Times New Roman"/>
          <w:sz w:val="20"/>
        </w:rPr>
        <w:t xml:space="preserve">&gt; accessed March 2026; California Department of Insurance, FAIR Plan Stipulated Order 2023-1, citing governing provisions at California Insurance Code ss 10090 </w:t>
      </w:r>
      <w:r w:rsidRPr="00B41F17">
        <w:rPr>
          <w:rFonts w:ascii="Times New Roman" w:hAnsi="Times New Roman"/>
          <w:i/>
          <w:sz w:val="20"/>
        </w:rPr>
        <w:t xml:space="preserve">et </w:t>
      </w:r>
      <w:proofErr w:type="spellStart"/>
      <w:r w:rsidRPr="00B41F17">
        <w:rPr>
          <w:rFonts w:ascii="Times New Roman" w:hAnsi="Times New Roman"/>
          <w:i/>
          <w:sz w:val="20"/>
        </w:rPr>
        <w:t>seq</w:t>
      </w:r>
      <w:proofErr w:type="spellEnd"/>
      <w:r w:rsidRPr="00B41F17">
        <w:rPr>
          <w:rFonts w:ascii="Times New Roman" w:hAnsi="Times New Roman"/>
          <w:sz w:val="20"/>
        </w:rPr>
        <w:t xml:space="preserve"> &lt;</w:t>
      </w:r>
      <w:hyperlink r:id="rId17" w:history="1">
        <w:r w:rsidRPr="00B41F17">
          <w:rPr>
            <w:rFonts w:ascii="Times New Roman" w:hAnsi="Times New Roman"/>
            <w:color w:val="0000FF"/>
            <w:sz w:val="20"/>
            <w:u w:val="single"/>
          </w:rPr>
          <w:t>www.insurance.ca.gov</w:t>
        </w:r>
      </w:hyperlink>
      <w:r w:rsidRPr="00B41F17">
        <w:rPr>
          <w:rFonts w:ascii="Times New Roman" w:hAnsi="Times New Roman"/>
          <w:sz w:val="20"/>
        </w:rPr>
        <w:t>&gt; accessed March 2026.</w:t>
      </w:r>
    </w:p>
  </w:footnote>
  <w:footnote w:id="55">
    <w:p w14:paraId="038C14E4" w14:textId="71BF9993"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536240">
        <w:rPr>
          <w:rFonts w:ascii="Times New Roman" w:hAnsi="Times New Roman" w:cs="Times New Roman"/>
          <w:sz w:val="20"/>
          <w:szCs w:val="20"/>
        </w:rPr>
        <w:t xml:space="preserve"> </w:t>
      </w:r>
      <w:r w:rsidRPr="00B41F17">
        <w:rPr>
          <w:rFonts w:ascii="Times New Roman" w:hAnsi="Times New Roman"/>
          <w:sz w:val="20"/>
        </w:rPr>
        <w:t>California FAIR Plan Association, Key Statistics and Data (March 2025) &lt;</w:t>
      </w:r>
      <w:hyperlink r:id="rId18" w:history="1">
        <w:r w:rsidRPr="00B41F17">
          <w:rPr>
            <w:rFonts w:ascii="Times New Roman" w:hAnsi="Times New Roman"/>
            <w:color w:val="0000FF"/>
            <w:sz w:val="20"/>
            <w:u w:val="single"/>
          </w:rPr>
          <w:t>www.cfpnet.com</w:t>
        </w:r>
      </w:hyperlink>
      <w:r w:rsidRPr="00B41F17">
        <w:rPr>
          <w:rFonts w:ascii="Times New Roman" w:hAnsi="Times New Roman"/>
          <w:sz w:val="20"/>
        </w:rPr>
        <w:t>&gt; accessed March 2026: 573,739 policies in force; total insured exposure USD 599 billion. The 139 per cent increase in policy numbers is calculated from the FAIR Plan's own data between September 2021 and March 2025 as reported in California FAIR Plan Association, 'Update from the California FAIR Plan' (24 January 2025) &lt;</w:t>
      </w:r>
      <w:hyperlink r:id="rId19" w:history="1">
        <w:r w:rsidRPr="00B41F17">
          <w:rPr>
            <w:rFonts w:ascii="Times New Roman" w:hAnsi="Times New Roman"/>
            <w:color w:val="0000FF"/>
            <w:sz w:val="20"/>
            <w:u w:val="single"/>
          </w:rPr>
          <w:t>www.cfpnet.com</w:t>
        </w:r>
      </w:hyperlink>
      <w:r w:rsidRPr="00B41F17">
        <w:rPr>
          <w:rFonts w:ascii="Times New Roman" w:hAnsi="Times New Roman"/>
          <w:sz w:val="20"/>
        </w:rPr>
        <w:t>&gt; accessed March 2026.</w:t>
      </w:r>
    </w:p>
  </w:footnote>
  <w:footnote w:id="56">
    <w:p w14:paraId="300A314A" w14:textId="5E739ACE"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536240">
        <w:rPr>
          <w:rFonts w:ascii="Times New Roman" w:hAnsi="Times New Roman" w:cs="Times New Roman"/>
          <w:sz w:val="20"/>
          <w:szCs w:val="20"/>
        </w:rPr>
        <w:t xml:space="preserve"> </w:t>
      </w:r>
      <w:r w:rsidRPr="00B41F17">
        <w:rPr>
          <w:rFonts w:ascii="Times New Roman" w:hAnsi="Times New Roman"/>
          <w:sz w:val="20"/>
        </w:rPr>
        <w:t>California FAIR Plan Association, 'Update from the California FAIR Plan' (24 January 2025) &lt;</w:t>
      </w:r>
      <w:hyperlink r:id="rId20" w:history="1">
        <w:r w:rsidRPr="00B41F17">
          <w:rPr>
            <w:rFonts w:ascii="Times New Roman" w:hAnsi="Times New Roman"/>
            <w:color w:val="0000FF"/>
            <w:sz w:val="20"/>
            <w:u w:val="single"/>
          </w:rPr>
          <w:t>www.cfpnet.com</w:t>
        </w:r>
      </w:hyperlink>
      <w:r w:rsidRPr="00B41F17">
        <w:rPr>
          <w:rFonts w:ascii="Times New Roman" w:hAnsi="Times New Roman"/>
          <w:sz w:val="20"/>
        </w:rPr>
        <w:t>&gt; accessed March 2026, reporting estimated exposure of over USD 4 billion for the Palisades Fire and over USD 775 million for the Eaton Fire as of 17 January 2025, with USD 377 million in available reserves before accessing reinsurance. For structures destroyed, see CAL FIRE, Top 20 Most Destructive</w:t>
      </w:r>
      <w:r w:rsidRPr="00B41F17">
        <w:rPr>
          <w:rFonts w:ascii="Times New Roman" w:hAnsi="Times New Roman"/>
          <w:i/>
          <w:sz w:val="20"/>
        </w:rPr>
        <w:t xml:space="preserve"> </w:t>
      </w:r>
      <w:r w:rsidRPr="00B41F17">
        <w:rPr>
          <w:rFonts w:ascii="Times New Roman" w:hAnsi="Times New Roman"/>
          <w:sz w:val="20"/>
        </w:rPr>
        <w:t>California Wildfires (California Department of Forestry and Fire Protection, updated April 2025) &lt;</w:t>
      </w:r>
      <w:hyperlink r:id="rId21" w:history="1">
        <w:r w:rsidRPr="00B41F17">
          <w:rPr>
            <w:rFonts w:ascii="Times New Roman" w:hAnsi="Times New Roman"/>
            <w:color w:val="0000FF"/>
            <w:sz w:val="20"/>
            <w:u w:val="single"/>
          </w:rPr>
          <w:t>www.fire.ca.gov/our-impact/statistics</w:t>
        </w:r>
      </w:hyperlink>
      <w:r w:rsidRPr="00B41F17">
        <w:rPr>
          <w:rFonts w:ascii="Times New Roman" w:hAnsi="Times New Roman"/>
          <w:sz w:val="20"/>
        </w:rPr>
        <w:t>&gt; accessed March 2026: Eaton Fire 9,418 structures; Palisades Fire 6,833 structures.</w:t>
      </w:r>
    </w:p>
  </w:footnote>
  <w:footnote w:id="57">
    <w:p w14:paraId="1211C225" w14:textId="1406BB2A"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536240">
        <w:rPr>
          <w:rFonts w:ascii="Times New Roman" w:hAnsi="Times New Roman" w:cs="Times New Roman"/>
          <w:sz w:val="20"/>
          <w:szCs w:val="20"/>
        </w:rPr>
        <w:t xml:space="preserve"> </w:t>
      </w:r>
      <w:r w:rsidRPr="00B41F17">
        <w:rPr>
          <w:rFonts w:ascii="Times New Roman" w:hAnsi="Times New Roman"/>
          <w:sz w:val="20"/>
        </w:rPr>
        <w:t>California FAIR Plan sought an average 36% rate increase for homeowners policies: 'California's "Last Resort" Property Insurer Seeks Rate Hike' (Stateline, 24 October 2025). The Plan was assessed USD 1 billion by the California Department of Insurance; insurers were permitted to pass USD 500 million to their policyholders. California Department of Insurance, Order No 2025-1: Approving the California FAIR Plan Association's Request to Issue Assessment (11 February 2025) &lt;</w:t>
      </w:r>
      <w:hyperlink r:id="rId22" w:history="1">
        <w:r w:rsidRPr="00B41F17">
          <w:rPr>
            <w:rFonts w:ascii="Times New Roman" w:hAnsi="Times New Roman"/>
            <w:color w:val="0000FF"/>
            <w:sz w:val="20"/>
            <w:u w:val="single"/>
          </w:rPr>
          <w:t>www.insurance.ca.gov</w:t>
        </w:r>
      </w:hyperlink>
      <w:r w:rsidRPr="00B41F17">
        <w:rPr>
          <w:rFonts w:ascii="Times New Roman" w:hAnsi="Times New Roman"/>
          <w:sz w:val="20"/>
        </w:rPr>
        <w:t>&gt; accessed March 2026, approving a USD 1 billion assessment on FAIR Plan member insurers — the first assessment in over 30 years. California Department of Insurance, Bulletin 2025-4 (11 February 2025) &lt;</w:t>
      </w:r>
      <w:hyperlink r:id="rId23" w:history="1">
        <w:r w:rsidRPr="00B41F17">
          <w:rPr>
            <w:rFonts w:ascii="Times New Roman" w:hAnsi="Times New Roman"/>
            <w:color w:val="0000FF"/>
            <w:sz w:val="20"/>
            <w:u w:val="single"/>
          </w:rPr>
          <w:t>www.insurance.ca.gov</w:t>
        </w:r>
      </w:hyperlink>
      <w:r w:rsidRPr="00B41F17">
        <w:rPr>
          <w:rFonts w:ascii="Times New Roman" w:hAnsi="Times New Roman"/>
          <w:sz w:val="20"/>
        </w:rPr>
        <w:t>&gt; accessed March 2026, providing that member insurers may seek recoupment of up to 50 per cent of their assessment payment from policyholders by way of a temporary supplemental fee, subject to prior approval by the Commissioner under Proposition 103.</w:t>
      </w:r>
    </w:p>
  </w:footnote>
  <w:footnote w:id="58">
    <w:p w14:paraId="4E51CC40" w14:textId="7D7C4735"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536240">
        <w:rPr>
          <w:rFonts w:ascii="Times New Roman" w:hAnsi="Times New Roman" w:cs="Times New Roman"/>
          <w:sz w:val="20"/>
          <w:szCs w:val="20"/>
        </w:rPr>
        <w:t xml:space="preserve"> </w:t>
      </w:r>
      <w:r w:rsidRPr="00B41F17">
        <w:rPr>
          <w:rFonts w:ascii="Times New Roman" w:hAnsi="Times New Roman"/>
          <w:sz w:val="20"/>
        </w:rPr>
        <w:t xml:space="preserve">California Department of Insurance, 'Commissioner Lara Issues Landmark Regulation to Expand Insurance Access for Californians amid Growing Climate Risks' (Press Release, 30 December 2024) </w:t>
      </w:r>
      <w:r w:rsidRPr="00EB5F70">
        <w:rPr>
          <w:rFonts w:ascii="Times New Roman" w:hAnsi="Times New Roman" w:cs="Times New Roman"/>
          <w:sz w:val="20"/>
          <w:szCs w:val="20"/>
        </w:rPr>
        <w:t>&lt;</w:t>
      </w:r>
      <w:hyperlink r:id="rId24" w:history="1">
        <w:r w:rsidRPr="009F4ACA">
          <w:rPr>
            <w:rStyle w:val="Hyperlink"/>
            <w:rFonts w:ascii="Times New Roman" w:hAnsi="Times New Roman" w:cs="Times New Roman"/>
            <w:sz w:val="20"/>
            <w:szCs w:val="20"/>
          </w:rPr>
          <w:t>www.insurance.ca.gov</w:t>
        </w:r>
      </w:hyperlink>
      <w:r w:rsidRPr="00EB5F70">
        <w:rPr>
          <w:rFonts w:ascii="Times New Roman" w:hAnsi="Times New Roman" w:cs="Times New Roman"/>
          <w:sz w:val="20"/>
          <w:szCs w:val="20"/>
        </w:rPr>
        <w:t>&gt;</w:t>
      </w:r>
      <w:r w:rsidRPr="00B41F17">
        <w:rPr>
          <w:rFonts w:ascii="Times New Roman" w:hAnsi="Times New Roman"/>
          <w:sz w:val="20"/>
        </w:rPr>
        <w:t xml:space="preserve"> accessed March 2026. The regulation is described by the CDI as the largest insurance reform in 30 years and requires insurers using forward-looking catastrophe models to write at least 85% of their statewide market share in wildfire-distressed areas.</w:t>
      </w:r>
    </w:p>
  </w:footnote>
  <w:footnote w:id="59">
    <w:p w14:paraId="33157FAE" w14:textId="23C4B198"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536240">
        <w:rPr>
          <w:rFonts w:ascii="Times New Roman" w:hAnsi="Times New Roman" w:cs="Times New Roman"/>
          <w:sz w:val="20"/>
          <w:szCs w:val="20"/>
        </w:rPr>
        <w:t xml:space="preserve"> </w:t>
      </w:r>
      <w:r w:rsidRPr="00B41F17">
        <w:rPr>
          <w:rFonts w:ascii="Times New Roman" w:hAnsi="Times New Roman"/>
          <w:sz w:val="20"/>
        </w:rPr>
        <w:t xml:space="preserve">California Department of Insurance, 'Reform Made Real — California Department of Insurance Completes Final Evaluation of Innovative Forward-Looking Model' (Press Release, 25 July 2025) </w:t>
      </w:r>
      <w:r w:rsidRPr="00EB5F70">
        <w:rPr>
          <w:rFonts w:ascii="Times New Roman" w:hAnsi="Times New Roman" w:cs="Times New Roman"/>
          <w:sz w:val="20"/>
          <w:szCs w:val="20"/>
        </w:rPr>
        <w:t>&lt;</w:t>
      </w:r>
      <w:hyperlink r:id="rId25" w:history="1">
        <w:r w:rsidRPr="009F4ACA">
          <w:rPr>
            <w:rStyle w:val="Hyperlink"/>
            <w:rFonts w:ascii="Times New Roman" w:hAnsi="Times New Roman" w:cs="Times New Roman"/>
            <w:sz w:val="20"/>
            <w:szCs w:val="20"/>
          </w:rPr>
          <w:t>www.insurance.ca.gov</w:t>
        </w:r>
      </w:hyperlink>
      <w:r w:rsidRPr="00EB5F70">
        <w:rPr>
          <w:rFonts w:ascii="Times New Roman" w:hAnsi="Times New Roman" w:cs="Times New Roman"/>
          <w:sz w:val="20"/>
          <w:szCs w:val="20"/>
        </w:rPr>
        <w:t>&gt;</w:t>
      </w:r>
      <w:r w:rsidRPr="00B41F17">
        <w:rPr>
          <w:rFonts w:ascii="Times New Roman" w:hAnsi="Times New Roman"/>
          <w:sz w:val="20"/>
        </w:rPr>
        <w:t xml:space="preserve"> accessed March 2026. Approved models: Verisk Wildfire Model for the United States; Karen Clark and Company; Moody's.</w:t>
      </w:r>
    </w:p>
  </w:footnote>
  <w:footnote w:id="60">
    <w:p w14:paraId="5ACFF42D" w14:textId="21BE2C7C" w:rsidR="00EB5F70" w:rsidRPr="00B41F17" w:rsidRDefault="00EB5F70" w:rsidP="00EB5F70">
      <w:pPr>
        <w:pStyle w:val="FootnoteText"/>
        <w:rPr>
          <w:lang w:val="en-US"/>
        </w:rPr>
      </w:pPr>
      <w:r w:rsidRPr="00B41F17">
        <w:rPr>
          <w:rStyle w:val="FootnoteReference"/>
          <w:rFonts w:eastAsiaTheme="majorEastAsia"/>
        </w:rPr>
        <w:footnoteRef/>
      </w:r>
      <w:r w:rsidRPr="00B41F17">
        <w:t xml:space="preserve"> F Arnold-Dwyer</w:t>
      </w:r>
      <w:r w:rsidR="00E509FA">
        <w:t xml:space="preserve"> (n 3</w:t>
      </w:r>
      <w:r w:rsidR="00525E06">
        <w:t>3</w:t>
      </w:r>
      <w:r w:rsidR="00E509FA">
        <w:t>)</w:t>
      </w:r>
      <w:r w:rsidRPr="00EB5F70">
        <w:t>,</w:t>
      </w:r>
      <w:r w:rsidRPr="00B41F17">
        <w:t xml:space="preserve"> developing the insurer-as-climate-action-enabler argument.</w:t>
      </w:r>
    </w:p>
  </w:footnote>
  <w:footnote w:id="61">
    <w:p w14:paraId="76D74480" w14:textId="77777777" w:rsidR="00EB5F70" w:rsidRDefault="00EB5F70" w:rsidP="00EB5F70">
      <w:pPr>
        <w:pStyle w:val="FootnoteText"/>
      </w:pPr>
      <w:r w:rsidRPr="00B41F17">
        <w:rPr>
          <w:rStyle w:val="FootnoteReference"/>
          <w:rFonts w:eastAsiaTheme="majorEastAsia"/>
        </w:rPr>
        <w:footnoteRef/>
      </w:r>
      <w:r w:rsidRPr="00B41F17">
        <w:t xml:space="preserve"> McKinsey and Company, 'What Is a Digital Twin?' McKinsey Explainers (2023) &lt;www.mckinsey.com&gt; accessed March 2026</w:t>
      </w:r>
    </w:p>
    <w:p w14:paraId="2F337CA1" w14:textId="77777777" w:rsidR="0089582A" w:rsidRPr="00B41F17" w:rsidRDefault="0089582A" w:rsidP="00EB5F70">
      <w:pPr>
        <w:pStyle w:val="FootnoteText"/>
        <w:rPr>
          <w:lang w:val="en-US"/>
        </w:rPr>
      </w:pPr>
    </w:p>
  </w:footnote>
  <w:footnote w:id="62">
    <w:p w14:paraId="05C88DCD" w14:textId="77777777" w:rsidR="0089582A" w:rsidRDefault="00EB5F70" w:rsidP="00EB5F70">
      <w:pPr>
        <w:pStyle w:val="FootnoteText"/>
      </w:pPr>
      <w:r w:rsidRPr="00B41F17">
        <w:rPr>
          <w:rStyle w:val="FootnoteReference"/>
          <w:rFonts w:eastAsiaTheme="majorEastAsia"/>
        </w:rPr>
        <w:footnoteRef/>
      </w:r>
      <w:r w:rsidRPr="00B41F17">
        <w:t xml:space="preserve"> Robert Kozikowski, 'Digital Twins and Property Insurance Risk' (2023) Property Insurance Briefing, discussing ACP panel data post-Grenfell</w:t>
      </w:r>
      <w:r w:rsidRPr="00EB5F70">
        <w:t xml:space="preserve"> </w:t>
      </w:r>
      <w:hyperlink r:id="rId26" w:history="1">
        <w:r w:rsidRPr="00B41F17">
          <w:rPr>
            <w:rStyle w:val="Hyperlink"/>
            <w:rFonts w:eastAsiaTheme="majorEastAsia"/>
          </w:rPr>
          <w:t>https://insurtechdigital.com/articles/digital-twins-a-transformative-force-in-property-insurance</w:t>
        </w:r>
      </w:hyperlink>
      <w:r w:rsidRPr="00B41F17">
        <w:t xml:space="preserve">; See also N Beresford, 'Emerging Risk Predictions for Insurers in 2026' (Clyde &amp; Co, December 2025) </w:t>
      </w:r>
      <w:hyperlink r:id="rId27" w:history="1">
        <w:r w:rsidRPr="00B41F17">
          <w:rPr>
            <w:rStyle w:val="Hyperlink"/>
            <w:rFonts w:eastAsiaTheme="majorEastAsia"/>
          </w:rPr>
          <w:t>https://www.clydeco.com/en/news/2025/12/clyde-co-unveils-emerging-risks-for-insurers-in-20</w:t>
        </w:r>
      </w:hyperlink>
      <w:r w:rsidRPr="00B41F17">
        <w:t xml:space="preserve"> who notes the persistent pressure on property insurance systems designed for a different risk environment.</w:t>
      </w:r>
    </w:p>
    <w:p w14:paraId="3B6BE0C1" w14:textId="6540E61B" w:rsidR="00EB5F70" w:rsidRPr="00B41F17" w:rsidRDefault="00EB5F70" w:rsidP="00EB5F70">
      <w:pPr>
        <w:pStyle w:val="FootnoteText"/>
      </w:pPr>
      <w:r w:rsidRPr="00B41F17">
        <w:t xml:space="preserve"> </w:t>
      </w:r>
    </w:p>
  </w:footnote>
  <w:footnote w:id="63">
    <w:p w14:paraId="7810FB53" w14:textId="7AB65C5B" w:rsidR="00622C45" w:rsidRPr="00622C45" w:rsidRDefault="00622C45" w:rsidP="00622C45">
      <w:pPr>
        <w:pStyle w:val="FootnoteText"/>
      </w:pPr>
      <w:r>
        <w:rPr>
          <w:rStyle w:val="FootnoteReference"/>
        </w:rPr>
        <w:footnoteRef/>
      </w:r>
      <w:r>
        <w:t xml:space="preserve"> It c</w:t>
      </w:r>
      <w:r w:rsidRPr="00622C45">
        <w:t>ould it be argued that, derived from the principle of utmost good faith, the insurer has a duty to provide loss prevention information?</w:t>
      </w:r>
      <w:r w:rsidR="00525E06" w:rsidRPr="00622C45">
        <w:t xml:space="preserve"> </w:t>
      </w:r>
      <w:r w:rsidRPr="00622C45">
        <w:t>Malinowska suggests that this should be so: “… as an emanation of good faith, where both parties are obliged to maintain a high level of transparency concerning the risk being subject to the contract.”</w:t>
      </w:r>
      <w:r w:rsidR="007C143D">
        <w:t xml:space="preserve"> In </w:t>
      </w:r>
      <w:r w:rsidR="007C143D" w:rsidRPr="007C143D">
        <w:t>K. Malinowska</w:t>
      </w:r>
      <w:r w:rsidRPr="00622C45">
        <w:t>, ‘Risk prevention and insurance. Reaching or trespassing the insurance boundaries?’</w:t>
      </w:r>
      <w:r w:rsidR="007C143D">
        <w:t xml:space="preserve"> </w:t>
      </w:r>
      <w:r w:rsidRPr="00622C45">
        <w:t>(</w:t>
      </w:r>
      <w:r w:rsidR="007C143D">
        <w:t>&lt;</w:t>
      </w:r>
      <w:hyperlink r:id="rId28" w:history="1">
        <w:r w:rsidRPr="00622C45">
          <w:rPr>
            <w:rStyle w:val="Hyperlink"/>
          </w:rPr>
          <w:t>https://piu.org.pl/wp-content/uploads/2024/03/WU%202023-04_01_Malinowska.pdf</w:t>
        </w:r>
      </w:hyperlink>
      <w:r w:rsidR="007C143D">
        <w:t xml:space="preserve">&gt; accessed April 2026). </w:t>
      </w:r>
      <w:r w:rsidRPr="00622C45">
        <w:t>The English courts, however, have given the post-formation (continuing) duty to observe good faith a limited scope whereby “… the content of the obligation … has a different application and content in different situations” during the performance of the insurance contract (</w:t>
      </w:r>
      <w:r w:rsidRPr="007C143D">
        <w:rPr>
          <w:i/>
          <w:iCs/>
        </w:rPr>
        <w:t>The Star Sea</w:t>
      </w:r>
      <w:r w:rsidRPr="00622C45">
        <w:t xml:space="preserve"> [2001] UKHL 1, at [48] per Lord Hobhouse). Apart from contract variation situations, the courts have been reluctant to find that, post-formation, the continuing duty of good faith requires the provision of information.</w:t>
      </w:r>
    </w:p>
    <w:p w14:paraId="25D1932E" w14:textId="3E8686C7" w:rsidR="00622C45" w:rsidRDefault="00622C45">
      <w:pPr>
        <w:pStyle w:val="FootnoteText"/>
      </w:pPr>
    </w:p>
  </w:footnote>
  <w:footnote w:id="64">
    <w:p w14:paraId="349A2880" w14:textId="77777777" w:rsidR="00EB5F70" w:rsidRDefault="00EB5F70" w:rsidP="00EB5F70">
      <w:pPr>
        <w:pStyle w:val="FootnoteText"/>
      </w:pPr>
      <w:r w:rsidRPr="00B41F17">
        <w:rPr>
          <w:rStyle w:val="FootnoteReference"/>
          <w:rFonts w:eastAsiaTheme="majorEastAsia"/>
        </w:rPr>
        <w:footnoteRef/>
      </w:r>
      <w:r w:rsidRPr="00B41F17">
        <w:t xml:space="preserve"> </w:t>
      </w:r>
      <w:proofErr w:type="spellStart"/>
      <w:r w:rsidRPr="00B41F17">
        <w:t>AccelTree</w:t>
      </w:r>
      <w:proofErr w:type="spellEnd"/>
      <w:r w:rsidRPr="00B41F17">
        <w:t xml:space="preserve">, Digital Twins in Insurance: Risk Intelligence and Claims Automation (White Paper, </w:t>
      </w:r>
      <w:proofErr w:type="spellStart"/>
      <w:r w:rsidRPr="00B41F17">
        <w:t>AccelTree</w:t>
      </w:r>
      <w:proofErr w:type="spellEnd"/>
      <w:r w:rsidRPr="00B41F17">
        <w:t xml:space="preserve"> 2024) 12–14.</w:t>
      </w:r>
    </w:p>
    <w:p w14:paraId="3A71440D" w14:textId="77777777" w:rsidR="0089582A" w:rsidRPr="00B41F17" w:rsidRDefault="0089582A" w:rsidP="00EB5F70">
      <w:pPr>
        <w:pStyle w:val="FootnoteText"/>
        <w:rPr>
          <w:lang w:val="en-US"/>
        </w:rPr>
      </w:pPr>
    </w:p>
  </w:footnote>
  <w:footnote w:id="65">
    <w:p w14:paraId="19108EEB" w14:textId="77777777"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Pr="00B41F17">
        <w:rPr>
          <w:rFonts w:ascii="Times New Roman" w:hAnsi="Times New Roman"/>
          <w:sz w:val="20"/>
        </w:rPr>
        <w:t xml:space="preserve"> Hanna Cabessa, 'The Fidelity Problem in Digital Twin Insurance Applications' (2024) 3 </w:t>
      </w:r>
      <w:proofErr w:type="spellStart"/>
      <w:r w:rsidRPr="00B41F17">
        <w:rPr>
          <w:rFonts w:ascii="Times New Roman" w:hAnsi="Times New Roman"/>
          <w:sz w:val="20"/>
        </w:rPr>
        <w:t>InsurTech</w:t>
      </w:r>
      <w:proofErr w:type="spellEnd"/>
      <w:r w:rsidRPr="00B41F17">
        <w:rPr>
          <w:rFonts w:ascii="Times New Roman" w:hAnsi="Times New Roman"/>
          <w:sz w:val="20"/>
        </w:rPr>
        <w:t xml:space="preserve"> Review 44, 48.</w:t>
      </w:r>
    </w:p>
    <w:p w14:paraId="2B478DBC" w14:textId="77777777" w:rsidR="00EB5F70" w:rsidRPr="00B41F17" w:rsidRDefault="00EB5F70" w:rsidP="00EB5F70">
      <w:pPr>
        <w:pStyle w:val="FootnoteText"/>
        <w:rPr>
          <w:lang w:val="en-US"/>
        </w:rPr>
      </w:pPr>
    </w:p>
  </w:footnote>
  <w:footnote w:id="66">
    <w:p w14:paraId="73154042" w14:textId="52101670" w:rsidR="00EB5F70" w:rsidRPr="00844C2D" w:rsidRDefault="00EB5F70" w:rsidP="00EB5F70">
      <w:pPr>
        <w:pStyle w:val="FootnoteText"/>
        <w:rPr>
          <w:b/>
          <w:bCs/>
        </w:rPr>
      </w:pPr>
      <w:r w:rsidRPr="00B41F17">
        <w:rPr>
          <w:rStyle w:val="FootnoteReference"/>
          <w:rFonts w:eastAsiaTheme="majorEastAsia"/>
        </w:rPr>
        <w:footnoteRef/>
      </w:r>
      <w:r w:rsidRPr="00B41F17">
        <w:t xml:space="preserve"> </w:t>
      </w:r>
      <w:r w:rsidR="00844C2D" w:rsidRPr="00B41F17">
        <w:t>R. Merkin and O. Gürses, 'The Insurance Act 2015: Rebalancing the Interests of Insurer and Assured' (2015) 78 Modern Law Review 1004–1027; see also more generally R. Merkin and O. Gürses, 'Insurance Contracts After the Insurance Act 2015' (2016) 132 Law Quarterly Review 445.</w:t>
      </w:r>
    </w:p>
    <w:p w14:paraId="608DDEBE" w14:textId="77777777" w:rsidR="0089582A" w:rsidRPr="00B41F17" w:rsidRDefault="0089582A" w:rsidP="00EB5F70">
      <w:pPr>
        <w:pStyle w:val="FootnoteText"/>
        <w:rPr>
          <w:lang w:val="en-US"/>
        </w:rPr>
      </w:pPr>
    </w:p>
  </w:footnote>
  <w:footnote w:id="67">
    <w:p w14:paraId="114F1173" w14:textId="77777777"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Pr="00B41F17">
        <w:rPr>
          <w:rFonts w:ascii="Times New Roman" w:hAnsi="Times New Roman"/>
          <w:sz w:val="20"/>
        </w:rPr>
        <w:t xml:space="preserve"> National Highway Traffic Safety Administration, Critical Reasons for Crashes Investigated in the National Motor Vehicle Crash Causation Survey (DOT HS 812 115, NHTSA 2015) 1.</w:t>
      </w:r>
    </w:p>
  </w:footnote>
  <w:footnote w:id="68">
    <w:p w14:paraId="215D2ACB" w14:textId="77777777" w:rsidR="00EB5F70" w:rsidRDefault="00EB5F70" w:rsidP="00EB5F70">
      <w:pPr>
        <w:pStyle w:val="FootnoteText"/>
      </w:pPr>
      <w:r w:rsidRPr="00B41F17">
        <w:rPr>
          <w:rStyle w:val="FootnoteReference"/>
          <w:rFonts w:eastAsiaTheme="majorEastAsia"/>
        </w:rPr>
        <w:footnoteRef/>
      </w:r>
      <w:r w:rsidRPr="00B41F17">
        <w:t xml:space="preserve"> Noting that the critical reason is defined as the last event in the crash causal chain and is not intended to be interpreted as the cause of the crash: ibid 63.</w:t>
      </w:r>
    </w:p>
    <w:p w14:paraId="05D6FD43" w14:textId="77777777" w:rsidR="007C143D" w:rsidRPr="00B41F17" w:rsidRDefault="007C143D" w:rsidP="00EB5F70">
      <w:pPr>
        <w:pStyle w:val="FootnoteText"/>
        <w:rPr>
          <w:lang w:val="en-US"/>
        </w:rPr>
      </w:pPr>
    </w:p>
  </w:footnote>
  <w:footnote w:id="69">
    <w:p w14:paraId="0E3F6233" w14:textId="0263E11F" w:rsidR="00EB5F70" w:rsidRDefault="00EB5F70" w:rsidP="00EB5F70">
      <w:pPr>
        <w:pStyle w:val="FootnoteText"/>
      </w:pPr>
      <w:r w:rsidRPr="00EB5F70">
        <w:rPr>
          <w:rStyle w:val="FootnoteReference"/>
          <w:rFonts w:eastAsiaTheme="majorEastAsia"/>
        </w:rPr>
        <w:footnoteRef/>
      </w:r>
      <w:r w:rsidRPr="00EB5F70">
        <w:t xml:space="preserve"> “Automated Vehicles: joint report”, Law Commission of England and Wales Law Commission No 404 Scottish Law Commission Scottish Law Commission No 258, 25 January 2022.</w:t>
      </w:r>
    </w:p>
    <w:p w14:paraId="0FE0C6D9" w14:textId="77777777" w:rsidR="00844C2D" w:rsidRPr="00EB5F70" w:rsidRDefault="00844C2D" w:rsidP="00EB5F70">
      <w:pPr>
        <w:pStyle w:val="FootnoteText"/>
      </w:pPr>
    </w:p>
  </w:footnote>
  <w:footnote w:id="70">
    <w:p w14:paraId="30A6F7B3" w14:textId="01FD2F18" w:rsidR="00EB5F70" w:rsidRPr="00B41F17" w:rsidRDefault="00EB5F70" w:rsidP="00EB5F70">
      <w:pPr>
        <w:pStyle w:val="FootnoteText"/>
      </w:pPr>
      <w:r w:rsidRPr="00B41F17">
        <w:rPr>
          <w:rStyle w:val="FootnoteReference"/>
          <w:rFonts w:eastAsiaTheme="majorEastAsia"/>
        </w:rPr>
        <w:footnoteRef/>
      </w:r>
      <w:r w:rsidRPr="00B41F17">
        <w:t xml:space="preserve"> See, for example, CMS Law-Now</w:t>
      </w:r>
      <w:r w:rsidRPr="00EB5F70">
        <w:t>,</w:t>
      </w:r>
      <w:r w:rsidR="000020FD">
        <w:t xml:space="preserve"> </w:t>
      </w:r>
      <w:r w:rsidRPr="00EB5F70">
        <w:t>“</w:t>
      </w:r>
      <w:r w:rsidRPr="00B41F17">
        <w:t xml:space="preserve">Automated Vehicles Act 2024: A deeper dive into its key implications for the automotive sector”, 3 July 2024, </w:t>
      </w:r>
    </w:p>
    <w:p w14:paraId="1A39BC5A" w14:textId="646B8D96" w:rsidR="00EB5F70" w:rsidRPr="00EB5F70" w:rsidRDefault="003543BD" w:rsidP="00EB5F70">
      <w:pPr>
        <w:pStyle w:val="FootnoteText"/>
      </w:pPr>
      <w:r>
        <w:t>&lt;</w:t>
      </w:r>
      <w:hyperlink r:id="rId29" w:history="1">
        <w:r w:rsidR="00EB5F70" w:rsidRPr="003543BD">
          <w:rPr>
            <w:rStyle w:val="Hyperlink"/>
          </w:rPr>
          <w:t>https://cms-lawnow.com/en/ealerts/2024/07/automated-vehicles-act-2024-a-deeper-dive-into-its-key-implications-for-the-automotive-sector</w:t>
        </w:r>
      </w:hyperlink>
      <w:r>
        <w:t xml:space="preserve">&gt; </w:t>
      </w:r>
      <w:r w:rsidRPr="003543BD">
        <w:t>accessed March 2026</w:t>
      </w:r>
      <w:r w:rsidR="007C143D">
        <w:t>.</w:t>
      </w:r>
    </w:p>
    <w:p w14:paraId="33FB8D08" w14:textId="77777777" w:rsidR="00EB5F70" w:rsidRPr="00B41F17" w:rsidRDefault="00EB5F70" w:rsidP="00EB5F70">
      <w:pPr>
        <w:pStyle w:val="FootnoteText"/>
      </w:pPr>
    </w:p>
  </w:footnote>
  <w:footnote w:id="71">
    <w:p w14:paraId="545E388F" w14:textId="77777777" w:rsidR="00EB5F70" w:rsidRPr="00B41F17" w:rsidRDefault="00EB5F70" w:rsidP="00EB5F70">
      <w:pPr>
        <w:pStyle w:val="FootnoteText"/>
      </w:pPr>
      <w:r w:rsidRPr="00B41F17">
        <w:rPr>
          <w:rStyle w:val="FootnoteReference"/>
          <w:rFonts w:eastAsiaTheme="majorEastAsia"/>
        </w:rPr>
        <w:footnoteRef/>
      </w:r>
      <w:r w:rsidRPr="00B41F17">
        <w:t xml:space="preserve"> Rick Huckstep @ Insurtech, “Four Ways Autonomous Vehicles Will Change Auto Insurance”</w:t>
      </w:r>
    </w:p>
    <w:p w14:paraId="3DAC98D2" w14:textId="21C4B369" w:rsidR="00EB5F70" w:rsidRDefault="007C143D" w:rsidP="00EB5F70">
      <w:pPr>
        <w:pStyle w:val="FootnoteText"/>
      </w:pPr>
      <w:r>
        <w:t>&lt;</w:t>
      </w:r>
      <w:hyperlink r:id="rId30" w:history="1">
        <w:r w:rsidR="00EB5F70" w:rsidRPr="00B41F17">
          <w:rPr>
            <w:rStyle w:val="Hyperlink"/>
            <w:rFonts w:eastAsiaTheme="majorEastAsia"/>
          </w:rPr>
          <w:t>https://www.the-digital-insurer.com/blog/insurtech-impact-autonomous-vehicles-auto-insurance/</w:t>
        </w:r>
      </w:hyperlink>
      <w:r>
        <w:t>&gt; accessed March 2026.</w:t>
      </w:r>
    </w:p>
    <w:p w14:paraId="3650C05B" w14:textId="77777777" w:rsidR="003543BD" w:rsidRPr="00B41F17" w:rsidRDefault="003543BD" w:rsidP="00EB5F70">
      <w:pPr>
        <w:pStyle w:val="FootnoteText"/>
      </w:pPr>
    </w:p>
  </w:footnote>
  <w:footnote w:id="72">
    <w:p w14:paraId="216F8616" w14:textId="145C62EC" w:rsidR="00EB5F70" w:rsidRPr="00B41F17" w:rsidRDefault="00EB5F70" w:rsidP="00EB5F70">
      <w:pPr>
        <w:pStyle w:val="FootnoteText"/>
      </w:pPr>
      <w:r w:rsidRPr="00B41F17">
        <w:rPr>
          <w:rStyle w:val="FootnoteReference"/>
          <w:rFonts w:eastAsiaTheme="majorEastAsia"/>
        </w:rPr>
        <w:footnoteRef/>
      </w:r>
      <w:r w:rsidRPr="00B41F17">
        <w:t xml:space="preserve"> UK General Data Protection Regulation, Chapter 2.</w:t>
      </w:r>
      <w:r w:rsidR="007C143D" w:rsidRPr="00B41F17">
        <w:t xml:space="preserve"> </w:t>
      </w:r>
    </w:p>
    <w:p w14:paraId="4E77ACA5" w14:textId="77777777" w:rsidR="00EB5F70" w:rsidRPr="00B41F17" w:rsidRDefault="00EB5F70" w:rsidP="00EB5F70">
      <w:pPr>
        <w:pStyle w:val="FootnoteText"/>
      </w:pPr>
    </w:p>
  </w:footnote>
  <w:footnote w:id="73">
    <w:p w14:paraId="602707B0" w14:textId="77777777" w:rsidR="00EB5F70" w:rsidRPr="00B41F17" w:rsidRDefault="00EB5F70" w:rsidP="00EB5F70">
      <w:pPr>
        <w:pStyle w:val="FootnoteText"/>
      </w:pPr>
      <w:r w:rsidRPr="00B41F17">
        <w:rPr>
          <w:rStyle w:val="FootnoteReference"/>
          <w:rFonts w:eastAsiaTheme="majorEastAsia"/>
        </w:rPr>
        <w:footnoteRef/>
      </w:r>
      <w:r w:rsidRPr="00B41F17">
        <w:t xml:space="preserve"> European Commission, Communication from the Commission to the European Parliament, the Council, The European Economic and Social Committee and the Committee of the Regions, Sustainable and Smart Mobility Strategy – putting European transport on track for the future (Brussels 9 December 2020, COM 789 Final).</w:t>
      </w:r>
    </w:p>
    <w:p w14:paraId="545ECB4B" w14:textId="77777777" w:rsidR="00EB5F70" w:rsidRPr="00B41F17" w:rsidRDefault="00EB5F70" w:rsidP="00EB5F70">
      <w:pPr>
        <w:pStyle w:val="FootnoteText"/>
      </w:pPr>
      <w:r w:rsidRPr="00B41F17">
        <w:t>See para.57.</w:t>
      </w:r>
    </w:p>
    <w:p w14:paraId="53A9ECB6" w14:textId="77777777" w:rsidR="00EB5F70" w:rsidRPr="00B41F17" w:rsidRDefault="00EB5F70" w:rsidP="00EB5F70">
      <w:pPr>
        <w:pStyle w:val="FootnoteText"/>
      </w:pPr>
    </w:p>
  </w:footnote>
  <w:footnote w:id="74">
    <w:p w14:paraId="38EAF49C" w14:textId="77777777" w:rsidR="00EB5F70" w:rsidRDefault="00EB5F70" w:rsidP="00EB5F70">
      <w:pPr>
        <w:pStyle w:val="FootnoteText"/>
      </w:pPr>
      <w:r w:rsidRPr="00B41F17">
        <w:rPr>
          <w:rStyle w:val="FootnoteReference"/>
          <w:rFonts w:eastAsiaTheme="majorEastAsia"/>
        </w:rPr>
        <w:footnoteRef/>
      </w:r>
      <w:r w:rsidRPr="00B41F17">
        <w:t xml:space="preserve"> Ibid., para.67.</w:t>
      </w:r>
    </w:p>
    <w:p w14:paraId="67DD7749" w14:textId="77777777" w:rsidR="00DE3FF8" w:rsidRPr="00B41F17" w:rsidRDefault="00DE3FF8" w:rsidP="00EB5F70">
      <w:pPr>
        <w:pStyle w:val="FootnoteText"/>
      </w:pPr>
    </w:p>
  </w:footnote>
  <w:footnote w:id="75">
    <w:p w14:paraId="28B6CD21" w14:textId="6868AB77" w:rsidR="00EB5F70" w:rsidRDefault="00EB5F70" w:rsidP="00EB5F70">
      <w:pPr>
        <w:pStyle w:val="FootnoteText"/>
      </w:pPr>
      <w:r w:rsidRPr="00EB5F70">
        <w:rPr>
          <w:rStyle w:val="FootnoteReference"/>
          <w:rFonts w:eastAsiaTheme="majorEastAsia"/>
        </w:rPr>
        <w:footnoteRef/>
      </w:r>
      <w:r w:rsidRPr="00EB5F70">
        <w:t xml:space="preserve"> </w:t>
      </w:r>
      <w:r w:rsidR="003E7441" w:rsidRPr="00627CAB">
        <w:t>UK Automated and Electric Vehicles Act 2018, s.5</w:t>
      </w:r>
    </w:p>
    <w:p w14:paraId="5227C434" w14:textId="77777777" w:rsidR="00DE3FF8" w:rsidRPr="00EB5F70" w:rsidRDefault="00DE3FF8" w:rsidP="00EB5F70">
      <w:pPr>
        <w:pStyle w:val="FootnoteText"/>
      </w:pPr>
    </w:p>
  </w:footnote>
  <w:footnote w:id="76">
    <w:p w14:paraId="07E83745" w14:textId="144E522B"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0023F8">
        <w:rPr>
          <w:rFonts w:ascii="Times New Roman" w:hAnsi="Times New Roman" w:cs="Times New Roman"/>
          <w:sz w:val="20"/>
          <w:szCs w:val="20"/>
        </w:rPr>
        <w:t xml:space="preserve"> </w:t>
      </w:r>
      <w:r w:rsidRPr="00B41F17">
        <w:rPr>
          <w:rFonts w:ascii="Times New Roman" w:hAnsi="Times New Roman"/>
          <w:sz w:val="20"/>
        </w:rPr>
        <w:t>Geoffrey Fehling, Michael Levine and Evan Bundschuh, 'AI Exclusions in Insurance Policies: Scope, Implications and Emerging Affirmative Coverage' (2024) 43 Coverage 1, 4.</w:t>
      </w:r>
    </w:p>
  </w:footnote>
  <w:footnote w:id="77">
    <w:p w14:paraId="729D0218" w14:textId="44A363FF"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0023F8">
        <w:rPr>
          <w:rFonts w:ascii="Times New Roman" w:hAnsi="Times New Roman" w:cs="Times New Roman"/>
          <w:sz w:val="20"/>
          <w:szCs w:val="20"/>
        </w:rPr>
        <w:t xml:space="preserve"> </w:t>
      </w:r>
      <w:r w:rsidRPr="00B41F17">
        <w:rPr>
          <w:rFonts w:ascii="Times New Roman" w:hAnsi="Times New Roman"/>
          <w:sz w:val="20"/>
        </w:rPr>
        <w:t>Nikhil Raj Singh, 'AI Underwriting: The Tightening of Coverage' (2025) Insurance Journal (North America) 12.</w:t>
      </w:r>
    </w:p>
  </w:footnote>
  <w:footnote w:id="78">
    <w:p w14:paraId="0C663D1F" w14:textId="70B6FCF6" w:rsidR="00EB5F70" w:rsidRPr="00B41F17" w:rsidRDefault="00EB5F70" w:rsidP="00EB5F70">
      <w:pPr>
        <w:spacing w:after="80"/>
        <w:rPr>
          <w:rFonts w:ascii="Times New Roman" w:hAnsi="Times New Roman"/>
          <w:sz w:val="20"/>
          <w:lang w:val="de-DE"/>
        </w:rPr>
      </w:pPr>
      <w:r w:rsidRPr="00B41F17">
        <w:rPr>
          <w:rStyle w:val="FootnoteReference"/>
          <w:rFonts w:ascii="Times New Roman" w:hAnsi="Times New Roman"/>
          <w:sz w:val="20"/>
        </w:rPr>
        <w:footnoteRef/>
      </w:r>
      <w:r w:rsidR="00B81917">
        <w:rPr>
          <w:rFonts w:ascii="Times New Roman" w:hAnsi="Times New Roman" w:cs="Times New Roman"/>
          <w:sz w:val="20"/>
          <w:szCs w:val="20"/>
          <w:lang w:val="de-DE"/>
        </w:rPr>
        <w:t xml:space="preserve"> </w:t>
      </w:r>
      <w:r w:rsidRPr="00B41F17">
        <w:rPr>
          <w:rFonts w:ascii="Times New Roman" w:hAnsi="Times New Roman"/>
          <w:sz w:val="20"/>
          <w:lang w:val="de-DE"/>
        </w:rPr>
        <w:t xml:space="preserve">Fehling, Levine and Bundschuh (n </w:t>
      </w:r>
      <w:r w:rsidR="00047599">
        <w:rPr>
          <w:rFonts w:ascii="Times New Roman" w:hAnsi="Times New Roman" w:cs="Times New Roman"/>
          <w:sz w:val="20"/>
          <w:szCs w:val="20"/>
          <w:lang w:val="de-DE"/>
        </w:rPr>
        <w:t>7</w:t>
      </w:r>
      <w:r w:rsidR="007C143D">
        <w:rPr>
          <w:rFonts w:ascii="Times New Roman" w:hAnsi="Times New Roman" w:cs="Times New Roman"/>
          <w:sz w:val="20"/>
          <w:szCs w:val="20"/>
          <w:lang w:val="de-DE"/>
        </w:rPr>
        <w:t>6</w:t>
      </w:r>
      <w:r w:rsidRPr="00B41F17">
        <w:rPr>
          <w:rFonts w:ascii="Times New Roman" w:hAnsi="Times New Roman"/>
          <w:sz w:val="20"/>
          <w:lang w:val="de-DE"/>
        </w:rPr>
        <w:t>) 6.</w:t>
      </w:r>
    </w:p>
  </w:footnote>
  <w:footnote w:id="79">
    <w:p w14:paraId="49437F0A" w14:textId="06B414FD"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B81917">
        <w:rPr>
          <w:rFonts w:ascii="Times New Roman" w:hAnsi="Times New Roman" w:cs="Times New Roman"/>
          <w:sz w:val="20"/>
          <w:szCs w:val="20"/>
        </w:rPr>
        <w:t xml:space="preserve"> </w:t>
      </w:r>
      <w:r w:rsidRPr="00B41F17">
        <w:rPr>
          <w:rFonts w:ascii="Times New Roman" w:hAnsi="Times New Roman"/>
          <w:sz w:val="20"/>
        </w:rPr>
        <w:t xml:space="preserve">The governance-by-conditionality model is analysed in Ericson, Doyle and Barry (n </w:t>
      </w:r>
      <w:r w:rsidR="00E32F4D">
        <w:rPr>
          <w:rFonts w:ascii="Times New Roman" w:hAnsi="Times New Roman" w:cs="Times New Roman"/>
          <w:sz w:val="20"/>
          <w:szCs w:val="20"/>
        </w:rPr>
        <w:t>5</w:t>
      </w:r>
      <w:r w:rsidRPr="00B41F17">
        <w:rPr>
          <w:rFonts w:ascii="Times New Roman" w:hAnsi="Times New Roman"/>
          <w:sz w:val="20"/>
        </w:rPr>
        <w:t xml:space="preserve">) </w:t>
      </w:r>
      <w:proofErr w:type="spellStart"/>
      <w:r w:rsidRPr="00B41F17">
        <w:rPr>
          <w:rFonts w:ascii="Times New Roman" w:hAnsi="Times New Roman"/>
          <w:sz w:val="20"/>
        </w:rPr>
        <w:t>ch</w:t>
      </w:r>
      <w:proofErr w:type="spellEnd"/>
      <w:r w:rsidRPr="00B41F17">
        <w:rPr>
          <w:rFonts w:ascii="Times New Roman" w:hAnsi="Times New Roman"/>
          <w:sz w:val="20"/>
        </w:rPr>
        <w:t xml:space="preserve"> 2; Baker and Shortland (n </w:t>
      </w:r>
      <w:r w:rsidR="00E32F4D">
        <w:rPr>
          <w:rFonts w:ascii="Times New Roman" w:hAnsi="Times New Roman" w:cs="Times New Roman"/>
          <w:sz w:val="20"/>
          <w:szCs w:val="20"/>
        </w:rPr>
        <w:t>5</w:t>
      </w:r>
      <w:r w:rsidRPr="00B41F17">
        <w:rPr>
          <w:rFonts w:ascii="Times New Roman" w:hAnsi="Times New Roman"/>
          <w:sz w:val="20"/>
        </w:rPr>
        <w:t>) 294–297. The distinction between governance by absence and governance by conditionality is developed in the context of cyber insurance by Baker and Shortland ibid 298–305.</w:t>
      </w:r>
    </w:p>
  </w:footnote>
  <w:footnote w:id="80">
    <w:p w14:paraId="3D6D85FD" w14:textId="5B97CAB0"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B81917">
        <w:rPr>
          <w:rFonts w:ascii="Times New Roman" w:hAnsi="Times New Roman" w:cs="Times New Roman"/>
          <w:sz w:val="20"/>
          <w:szCs w:val="20"/>
        </w:rPr>
        <w:t xml:space="preserve"> </w:t>
      </w:r>
      <w:r w:rsidRPr="00B41F17">
        <w:rPr>
          <w:rFonts w:ascii="Times New Roman" w:hAnsi="Times New Roman"/>
          <w:sz w:val="20"/>
        </w:rPr>
        <w:t>Regulation (EU) 2024/1689 of the European Parliament and of the Council of 13 June 2024 laying down harmonised rules on artificial intelligence (Artificial Intelligence Act) [2024] OJ L 1689; Art 6 and Annex III (binding obligations on high-risk AI systems apply from 2 August 2026).</w:t>
      </w:r>
    </w:p>
  </w:footnote>
  <w:footnote w:id="81">
    <w:p w14:paraId="6B75CE0C" w14:textId="468904F9" w:rsidR="00622C45" w:rsidRDefault="00622C45" w:rsidP="00622C45">
      <w:pPr>
        <w:pStyle w:val="FootnoteText"/>
        <w:rPr>
          <w:lang w:val="en-GB"/>
        </w:rPr>
      </w:pPr>
      <w:r>
        <w:rPr>
          <w:rStyle w:val="FootnoteReference"/>
        </w:rPr>
        <w:footnoteRef/>
      </w:r>
      <w:r>
        <w:t xml:space="preserve"> </w:t>
      </w:r>
      <w:r w:rsidRPr="00622C45">
        <w:rPr>
          <w:lang w:val="en-GB"/>
        </w:rPr>
        <w:t>Insurance Act 2015, Sch 1, para. 5</w:t>
      </w:r>
      <w:r>
        <w:rPr>
          <w:lang w:val="en-GB"/>
        </w:rPr>
        <w:t>.</w:t>
      </w:r>
    </w:p>
    <w:p w14:paraId="7EC8B794" w14:textId="77777777" w:rsidR="007C143D" w:rsidRDefault="007C143D" w:rsidP="00622C45">
      <w:pPr>
        <w:pStyle w:val="FootnoteText"/>
      </w:pPr>
    </w:p>
  </w:footnote>
  <w:footnote w:id="82">
    <w:p w14:paraId="2DBA0F35" w14:textId="4595E236"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B81917">
        <w:rPr>
          <w:rFonts w:ascii="Times New Roman" w:hAnsi="Times New Roman" w:cs="Times New Roman"/>
          <w:sz w:val="20"/>
          <w:szCs w:val="20"/>
        </w:rPr>
        <w:t xml:space="preserve"> </w:t>
      </w:r>
      <w:r w:rsidRPr="00B41F17">
        <w:rPr>
          <w:rFonts w:ascii="Times New Roman" w:hAnsi="Times New Roman"/>
          <w:sz w:val="20"/>
        </w:rPr>
        <w:t xml:space="preserve">Law Commission, Smart Legal Contracts: Advice to Government (Law Com No 401, 2021); D Wilkinson, L Bacon and J-A Tarr, 'Distributed Ledger Technology and Blockchain: Insurance' </w:t>
      </w:r>
      <w:proofErr w:type="spellStart"/>
      <w:r w:rsidRPr="00B41F17">
        <w:rPr>
          <w:rFonts w:ascii="Times New Roman" w:hAnsi="Times New Roman"/>
          <w:sz w:val="20"/>
        </w:rPr>
        <w:t>ch</w:t>
      </w:r>
      <w:proofErr w:type="spellEnd"/>
      <w:r w:rsidRPr="00B41F17">
        <w:rPr>
          <w:rFonts w:ascii="Times New Roman" w:hAnsi="Times New Roman"/>
          <w:sz w:val="20"/>
        </w:rPr>
        <w:t xml:space="preserve"> 5 in Tarr and others (n </w:t>
      </w:r>
      <w:r w:rsidR="00FB4C18">
        <w:rPr>
          <w:rFonts w:ascii="Times New Roman" w:hAnsi="Times New Roman" w:cs="Times New Roman"/>
          <w:sz w:val="20"/>
          <w:szCs w:val="20"/>
        </w:rPr>
        <w:t>20</w:t>
      </w:r>
      <w:r w:rsidRPr="00B41F17">
        <w:rPr>
          <w:rFonts w:ascii="Times New Roman" w:hAnsi="Times New Roman"/>
          <w:sz w:val="20"/>
        </w:rPr>
        <w:t>) 95.</w:t>
      </w:r>
    </w:p>
  </w:footnote>
  <w:footnote w:id="83">
    <w:p w14:paraId="55E624FE" w14:textId="74CC2766"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B81917">
        <w:rPr>
          <w:rFonts w:ascii="Times New Roman" w:hAnsi="Times New Roman" w:cs="Times New Roman"/>
          <w:sz w:val="20"/>
          <w:szCs w:val="20"/>
        </w:rPr>
        <w:t xml:space="preserve"> </w:t>
      </w:r>
      <w:r w:rsidRPr="00B41F17">
        <w:rPr>
          <w:rFonts w:ascii="Times New Roman" w:hAnsi="Times New Roman"/>
          <w:sz w:val="20"/>
        </w:rPr>
        <w:t xml:space="preserve">Insurance Act 2015, s </w:t>
      </w:r>
      <w:r w:rsidRPr="00EB5F70">
        <w:rPr>
          <w:rFonts w:ascii="Times New Roman" w:hAnsi="Times New Roman" w:cs="Times New Roman"/>
          <w:sz w:val="20"/>
          <w:szCs w:val="20"/>
        </w:rPr>
        <w:t>1</w:t>
      </w:r>
      <w:r w:rsidR="00584AFE">
        <w:rPr>
          <w:rFonts w:ascii="Times New Roman" w:hAnsi="Times New Roman" w:cs="Times New Roman"/>
          <w:sz w:val="20"/>
          <w:szCs w:val="20"/>
        </w:rPr>
        <w:t>4</w:t>
      </w:r>
      <w:r w:rsidRPr="00B41F17">
        <w:rPr>
          <w:rFonts w:ascii="Times New Roman" w:hAnsi="Times New Roman"/>
          <w:sz w:val="20"/>
        </w:rPr>
        <w:t xml:space="preserve"> (duty of utmost good faith); s </w:t>
      </w:r>
      <w:r w:rsidR="00584AFE">
        <w:rPr>
          <w:rFonts w:ascii="Times New Roman" w:hAnsi="Times New Roman" w:cs="Times New Roman"/>
          <w:sz w:val="20"/>
          <w:szCs w:val="20"/>
        </w:rPr>
        <w:t>9</w:t>
      </w:r>
      <w:r w:rsidRPr="00B41F17">
        <w:rPr>
          <w:rFonts w:ascii="Times New Roman" w:hAnsi="Times New Roman"/>
          <w:sz w:val="20"/>
        </w:rPr>
        <w:t xml:space="preserve"> (basis clauses rendered ineffective). The FCA's Consumer Duty obligations of fair value and consumer understanding (PS22/9 (n 14)) apply to exclusion clauses that are ambiguous or disproportionately wide in scope.</w:t>
      </w:r>
    </w:p>
  </w:footnote>
  <w:footnote w:id="84">
    <w:p w14:paraId="7925FBB6" w14:textId="70F44E02"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B81917">
        <w:rPr>
          <w:rFonts w:ascii="Times New Roman" w:hAnsi="Times New Roman" w:cs="Times New Roman"/>
          <w:sz w:val="20"/>
          <w:szCs w:val="20"/>
        </w:rPr>
        <w:t xml:space="preserve"> </w:t>
      </w:r>
      <w:r w:rsidRPr="00B41F17">
        <w:rPr>
          <w:rFonts w:ascii="Times New Roman" w:hAnsi="Times New Roman"/>
          <w:sz w:val="20"/>
        </w:rPr>
        <w:t xml:space="preserve">Mark A Rothstein, 'Genetic Exceptionalism and Legislative Pragmatism' (2005) 35 </w:t>
      </w:r>
      <w:r w:rsidRPr="00B41F17">
        <w:rPr>
          <w:rStyle w:val="Emphasis"/>
          <w:rFonts w:ascii="Times New Roman" w:hAnsi="Times New Roman"/>
          <w:i w:val="0"/>
          <w:sz w:val="20"/>
        </w:rPr>
        <w:t xml:space="preserve">Hastings </w:t>
      </w:r>
      <w:proofErr w:type="spellStart"/>
      <w:r w:rsidRPr="00B41F17">
        <w:rPr>
          <w:rStyle w:val="Emphasis"/>
          <w:rFonts w:ascii="Times New Roman" w:hAnsi="Times New Roman"/>
          <w:i w:val="0"/>
          <w:sz w:val="20"/>
        </w:rPr>
        <w:t>Center</w:t>
      </w:r>
      <w:proofErr w:type="spellEnd"/>
      <w:r w:rsidRPr="00B41F17">
        <w:rPr>
          <w:rStyle w:val="Emphasis"/>
          <w:rFonts w:ascii="Times New Roman" w:hAnsi="Times New Roman"/>
          <w:i w:val="0"/>
          <w:sz w:val="20"/>
        </w:rPr>
        <w:t xml:space="preserve"> Report</w:t>
      </w:r>
      <w:r w:rsidRPr="00B41F17">
        <w:rPr>
          <w:rFonts w:ascii="Times New Roman" w:hAnsi="Times New Roman"/>
          <w:sz w:val="20"/>
        </w:rPr>
        <w:t xml:space="preserve"> 27; Padraig Dixon and others, 'Genomics and Insurance in the United Kingdom: Increasing Complexity and Emerging Challenges' (2024) 19(4) </w:t>
      </w:r>
      <w:r w:rsidRPr="00B41F17">
        <w:rPr>
          <w:rStyle w:val="Emphasis"/>
          <w:rFonts w:ascii="Times New Roman" w:hAnsi="Times New Roman"/>
          <w:i w:val="0"/>
          <w:sz w:val="20"/>
        </w:rPr>
        <w:t>Health Economics, Policy and Law</w:t>
      </w:r>
      <w:r w:rsidRPr="00B41F17">
        <w:rPr>
          <w:rFonts w:ascii="Times New Roman" w:hAnsi="Times New Roman"/>
          <w:sz w:val="20"/>
        </w:rPr>
        <w:t xml:space="preserve"> 446, providing the most current peer-reviewed analysis of how advances in genomic testing challenge the definitional and regulatory framework governing risk-rated insurance in the United Kingdom.</w:t>
      </w:r>
    </w:p>
  </w:footnote>
  <w:footnote w:id="85">
    <w:p w14:paraId="41367458" w14:textId="2E61D4A0" w:rsidR="00EB5F70" w:rsidRPr="007C143D" w:rsidRDefault="00EB5F70" w:rsidP="00EB5F70">
      <w:pPr>
        <w:spacing w:after="80"/>
        <w:rPr>
          <w:rFonts w:ascii="Times New Roman" w:hAnsi="Times New Roman"/>
          <w:sz w:val="20"/>
          <w:szCs w:val="20"/>
        </w:rPr>
      </w:pPr>
      <w:r w:rsidRPr="00B41F17">
        <w:rPr>
          <w:rStyle w:val="FootnoteReference"/>
          <w:rFonts w:ascii="Times New Roman" w:hAnsi="Times New Roman"/>
          <w:sz w:val="20"/>
        </w:rPr>
        <w:footnoteRef/>
      </w:r>
      <w:r w:rsidR="00B81917">
        <w:rPr>
          <w:rFonts w:ascii="Times New Roman" w:hAnsi="Times New Roman" w:cs="Times New Roman"/>
          <w:sz w:val="20"/>
          <w:szCs w:val="20"/>
        </w:rPr>
        <w:t xml:space="preserve"> </w:t>
      </w:r>
      <w:r w:rsidRPr="007C143D">
        <w:rPr>
          <w:rFonts w:ascii="Times New Roman" w:hAnsi="Times New Roman"/>
          <w:sz w:val="20"/>
          <w:szCs w:val="20"/>
        </w:rPr>
        <w:t xml:space="preserve">Department of Health and Social Care and Association of British Insurers, </w:t>
      </w:r>
      <w:r w:rsidR="00B36455" w:rsidRPr="007C143D">
        <w:rPr>
          <w:rFonts w:ascii="Times New Roman" w:hAnsi="Times New Roman"/>
          <w:sz w:val="20"/>
          <w:szCs w:val="20"/>
        </w:rPr>
        <w:t xml:space="preserve">Code on Genetic Testing and Insurance (October 2018), reviewed triennially; Code on Genetic Testing and Insurance: 3-Year Review 2025 (DHSC, March 2026). The Code is of indefinite duration, replacing the former Concordat and Moratorium on Genetics and Insurance. </w:t>
      </w:r>
      <w:r w:rsidRPr="007C143D">
        <w:rPr>
          <w:rFonts w:ascii="Times New Roman" w:hAnsi="Times New Roman"/>
          <w:sz w:val="20"/>
          <w:szCs w:val="20"/>
        </w:rPr>
        <w:t>It applies to predictive genetic tests and commits insurers never to require or pressure applicants to undergo such tests; to date, the only predictive test result which may be requested is a test for Huntington's disease in applications for life insurance exceeding £500,000. Diagnostic genetic test results are treated as equivalent to other diagnostic medical information.</w:t>
      </w:r>
    </w:p>
  </w:footnote>
  <w:footnote w:id="86">
    <w:p w14:paraId="611A3E4A" w14:textId="5BAD8C1C" w:rsidR="00EB5F70" w:rsidRDefault="00EB5F70" w:rsidP="00EB5F70">
      <w:pPr>
        <w:pStyle w:val="FootnoteText"/>
      </w:pPr>
      <w:r w:rsidRPr="00B41F17">
        <w:rPr>
          <w:rStyle w:val="FootnoteReference"/>
          <w:rFonts w:eastAsiaTheme="majorEastAsia"/>
        </w:rPr>
        <w:footnoteRef/>
      </w:r>
      <w:r w:rsidRPr="00B41F17">
        <w:t xml:space="preserve"> Australian Law Reform Commission, </w:t>
      </w:r>
      <w:r w:rsidR="00942EE8" w:rsidRPr="00B41F17">
        <w:t>Essentially Yours: The Protection of Human Genetic Information in Australia (ALRC Report 96, 2003). The ALRC recommended amendment of the Disability Discrimination Act 1992</w:t>
      </w:r>
      <w:r w:rsidRPr="00B41F17">
        <w:t xml:space="preserve"> (</w:t>
      </w:r>
      <w:proofErr w:type="spellStart"/>
      <w:r w:rsidRPr="00B41F17">
        <w:t>Cth</w:t>
      </w:r>
      <w:proofErr w:type="spellEnd"/>
      <w:r w:rsidRPr="00B41F17">
        <w:t xml:space="preserve">) to address genetic discrimination in insurance underwriting; that recommendation was not accepted in the Australian Government's initial response (2005), which preferred industry self-regulation. Following the Financial Services Council's introduction of a partial self-regulated moratorium in 2019, a government </w:t>
      </w:r>
      <w:r w:rsidR="00942EE8" w:rsidRPr="00B41F17">
        <w:t>consultation in November 2023, and publication of the findings of the A-GLIMMER Project — see Kristine Barlow-Stewart and others, 'Community Concerns About Genetic Discrimination in Life Insurance Persist in Australia' (2024) 32(3) European Journal of Human Genetics 286 — the Australian Government announced a total ban on the use of adverse predictive genetic test results in life insurance underwriting: Stephen Jones MP (Assistant Treasurer), 'Total Ban on the Use of Adverse Genetic Testing Results in Life Insurance' (Media Release, 2024). As of March 2026, implementation is proceeding through the Treasury Laws Amendment (Genetic Testing Protections in Life Insurance and Other Measures) Bill 2025, which remains before the Australian Parliament. The body text's reference to a "statutory approach" should accordingly be understood as describing Australia's announced legislative trajectory rather than a complete reform</w:t>
      </w:r>
      <w:r w:rsidR="00482948">
        <w:t>.</w:t>
      </w:r>
    </w:p>
    <w:p w14:paraId="15EF6EB5" w14:textId="77777777" w:rsidR="007C143D" w:rsidRPr="00B41F17" w:rsidRDefault="007C143D" w:rsidP="00EB5F70">
      <w:pPr>
        <w:pStyle w:val="FootnoteText"/>
        <w:rPr>
          <w:lang w:val="en-US"/>
        </w:rPr>
      </w:pPr>
    </w:p>
  </w:footnote>
  <w:footnote w:id="87">
    <w:p w14:paraId="46D4936B" w14:textId="2BE50469" w:rsidR="00EB5F70" w:rsidRPr="00B41F17" w:rsidRDefault="00EB5F70" w:rsidP="00EB5F70">
      <w:pPr>
        <w:spacing w:after="80"/>
        <w:rPr>
          <w:rFonts w:ascii="Times New Roman" w:hAnsi="Times New Roman"/>
          <w:sz w:val="20"/>
        </w:rPr>
      </w:pPr>
      <w:r w:rsidRPr="00B41F17">
        <w:rPr>
          <w:rStyle w:val="FootnoteReference"/>
          <w:rFonts w:ascii="Times New Roman" w:hAnsi="Times New Roman"/>
          <w:sz w:val="20"/>
        </w:rPr>
        <w:footnoteRef/>
      </w:r>
      <w:r w:rsidR="00482948">
        <w:rPr>
          <w:rFonts w:ascii="Times New Roman" w:hAnsi="Times New Roman" w:cs="Times New Roman"/>
          <w:sz w:val="20"/>
          <w:szCs w:val="20"/>
        </w:rPr>
        <w:t xml:space="preserve"> </w:t>
      </w:r>
      <w:r w:rsidRPr="00B41F17">
        <w:rPr>
          <w:rFonts w:ascii="Times New Roman" w:hAnsi="Times New Roman"/>
          <w:sz w:val="20"/>
        </w:rPr>
        <w:t>Charles Dupras and others, 'Epigenetic Clocks as Instruments of Biological Age Estimation in Insurance Underwriting: Scientific and Ethical Considerations' (2023) 24 EMBO Reports e57735.</w:t>
      </w:r>
    </w:p>
  </w:footnote>
  <w:footnote w:id="88">
    <w:p w14:paraId="64285758" w14:textId="57106CC3" w:rsidR="00EB5F70" w:rsidRPr="00B41F17" w:rsidRDefault="00EB5F70" w:rsidP="00EB5F70">
      <w:pPr>
        <w:pStyle w:val="FootnoteText"/>
        <w:rPr>
          <w:lang w:val="en-US"/>
        </w:rPr>
      </w:pPr>
      <w:r w:rsidRPr="00B41F17">
        <w:rPr>
          <w:rStyle w:val="FootnoteReference"/>
          <w:rFonts w:eastAsiaTheme="majorEastAsia"/>
        </w:rPr>
        <w:footnoteRef/>
      </w:r>
      <w:r w:rsidRPr="00B41F17">
        <w:t xml:space="preserve"> 'Insurance and Big Data: Who Benefits?' </w:t>
      </w:r>
      <w:r w:rsidRPr="00B41F17">
        <w:rPr>
          <w:rStyle w:val="Emphasis"/>
          <w:i w:val="0"/>
        </w:rPr>
        <w:t>The Guardian</w:t>
      </w:r>
      <w:r w:rsidRPr="00B41F17">
        <w:t xml:space="preserve"> (17 November 2019) (Editorial).</w:t>
      </w:r>
    </w:p>
  </w:footnote>
  <w:footnote w:id="89">
    <w:p w14:paraId="1B6A19C6" w14:textId="0BCF2D5B" w:rsidR="00FE69D6" w:rsidRPr="00C1680D" w:rsidRDefault="009E1B2B" w:rsidP="00C1680D">
      <w:pPr>
        <w:pStyle w:val="FootnoteText"/>
        <w:rPr>
          <w:color w:val="000000" w:themeColor="text1"/>
        </w:rPr>
      </w:pPr>
      <w:r w:rsidRPr="00F644AA">
        <w:rPr>
          <w:rStyle w:val="FootnoteReference"/>
        </w:rPr>
        <w:footnoteRef/>
      </w:r>
      <w:r w:rsidRPr="00F644AA">
        <w:t xml:space="preserve"> </w:t>
      </w:r>
      <w:r w:rsidR="00444212" w:rsidRPr="00F644AA">
        <w:t>F Arnold-Dwyer (n 3</w:t>
      </w:r>
      <w:r w:rsidR="007C143D" w:rsidRPr="00F644AA">
        <w:t>3</w:t>
      </w:r>
      <w:r w:rsidR="00444212" w:rsidRPr="00F644AA">
        <w:t>)</w:t>
      </w:r>
      <w:r w:rsidR="009C43CC" w:rsidRPr="00F644AA">
        <w:t xml:space="preserve">; </w:t>
      </w:r>
      <w:r w:rsidR="00FE69D6" w:rsidRPr="00F644AA">
        <w:rPr>
          <w:color w:val="000000" w:themeColor="text1"/>
        </w:rPr>
        <w:t>W. Lawrence</w:t>
      </w:r>
      <w:r w:rsidR="00C1680D" w:rsidRPr="00F644AA">
        <w:rPr>
          <w:color w:val="000000" w:themeColor="text1"/>
        </w:rPr>
        <w:t xml:space="preserve">, </w:t>
      </w:r>
      <w:r w:rsidR="00C1680D" w:rsidRPr="00C1680D">
        <w:rPr>
          <w:color w:val="000000" w:themeColor="text1"/>
        </w:rPr>
        <w:t>Julie-Anne Tarr, Nigel Brook, Meg Chaperon and Arnaud Sorel, “Parametric Insurance</w:t>
      </w:r>
      <w:r w:rsidR="00C1680D" w:rsidRPr="007C143D">
        <w:rPr>
          <w:color w:val="000000" w:themeColor="text1"/>
        </w:rPr>
        <w:t>” in</w:t>
      </w:r>
      <w:r w:rsidR="00FE69D6" w:rsidRPr="007C143D">
        <w:rPr>
          <w:color w:val="000000" w:themeColor="text1"/>
        </w:rPr>
        <w:t xml:space="preserve"> </w:t>
      </w:r>
      <w:r w:rsidR="00C1680D" w:rsidRPr="007C143D">
        <w:rPr>
          <w:color w:val="000000" w:themeColor="text1"/>
          <w:lang w:val="en-GB"/>
        </w:rPr>
        <w:t xml:space="preserve">A </w:t>
      </w:r>
      <w:proofErr w:type="spellStart"/>
      <w:r w:rsidR="00C1680D" w:rsidRPr="007C143D">
        <w:rPr>
          <w:color w:val="000000" w:themeColor="text1"/>
          <w:lang w:val="en-GB"/>
        </w:rPr>
        <w:t>A</w:t>
      </w:r>
      <w:proofErr w:type="spellEnd"/>
      <w:r w:rsidR="00C1680D" w:rsidRPr="007C143D">
        <w:rPr>
          <w:color w:val="000000" w:themeColor="text1"/>
          <w:lang w:val="en-GB"/>
        </w:rPr>
        <w:t xml:space="preserve"> Tarr and others </w:t>
      </w:r>
      <w:r w:rsidR="007C143D" w:rsidRPr="007C143D">
        <w:rPr>
          <w:color w:val="000000" w:themeColor="text1"/>
          <w:lang w:val="en-GB"/>
        </w:rPr>
        <w:t xml:space="preserve">(n 21) </w:t>
      </w:r>
      <w:r w:rsidR="00C1680D" w:rsidRPr="007C143D">
        <w:rPr>
          <w:color w:val="000000" w:themeColor="text1"/>
          <w:lang w:val="en-GB"/>
        </w:rPr>
        <w:t>127.</w:t>
      </w:r>
    </w:p>
    <w:p w14:paraId="352763AE" w14:textId="77777777" w:rsidR="00FD4AEB" w:rsidRPr="00B41F17" w:rsidRDefault="00FD4AEB" w:rsidP="00B41F17">
      <w:pPr>
        <w:pStyle w:val="FootnoteText"/>
        <w:rPr>
          <w:color w:val="000000" w:themeColor="text1"/>
          <w:lang w:val="en-US"/>
        </w:rPr>
      </w:pPr>
    </w:p>
  </w:footnote>
  <w:footnote w:id="90">
    <w:p w14:paraId="45F77616" w14:textId="3F9A0DBE" w:rsidR="009E1B2B" w:rsidRPr="00B41F17" w:rsidRDefault="009E1B2B" w:rsidP="00B41F17">
      <w:pPr>
        <w:pStyle w:val="FootnoteText"/>
        <w:rPr>
          <w:lang w:val="en-US"/>
        </w:rPr>
      </w:pPr>
      <w:r>
        <w:rPr>
          <w:rStyle w:val="FootnoteReference"/>
        </w:rPr>
        <w:footnoteRef/>
      </w:r>
      <w:r>
        <w:t xml:space="preserve"> </w:t>
      </w:r>
      <w:r w:rsidR="00404AF4">
        <w:t xml:space="preserve">See </w:t>
      </w:r>
      <w:r w:rsidR="00C71F8F">
        <w:t>Chapter IV.</w:t>
      </w:r>
      <w:r w:rsidR="00404AF4" w:rsidRPr="00404AF4">
        <w:rPr>
          <w:highlight w:val="yell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C6532" w14:textId="428B40D1" w:rsidR="00E81E09" w:rsidRDefault="00E81E09">
    <w:pPr>
      <w:pStyle w:val="Header"/>
      <w:jc w:val="right"/>
    </w:pPr>
  </w:p>
  <w:p w14:paraId="68CF0DC8" w14:textId="1522D8AD" w:rsidR="000170FB" w:rsidRDefault="00017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533A4"/>
    <w:multiLevelType w:val="multilevel"/>
    <w:tmpl w:val="A9D86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3C0F3F"/>
    <w:multiLevelType w:val="hybridMultilevel"/>
    <w:tmpl w:val="3F1C8E06"/>
    <w:lvl w:ilvl="0" w:tplc="0C72EEE6">
      <w:start w:val="1"/>
      <w:numFmt w:val="bullet"/>
      <w:lvlText w:val="●"/>
      <w:lvlJc w:val="left"/>
      <w:pPr>
        <w:ind w:left="720" w:hanging="360"/>
      </w:pPr>
    </w:lvl>
    <w:lvl w:ilvl="1" w:tplc="7D6ADBB4">
      <w:start w:val="1"/>
      <w:numFmt w:val="bullet"/>
      <w:lvlText w:val="○"/>
      <w:lvlJc w:val="left"/>
      <w:pPr>
        <w:ind w:left="1440" w:hanging="360"/>
      </w:pPr>
    </w:lvl>
    <w:lvl w:ilvl="2" w:tplc="1E808610">
      <w:start w:val="1"/>
      <w:numFmt w:val="bullet"/>
      <w:lvlText w:val="■"/>
      <w:lvlJc w:val="left"/>
      <w:pPr>
        <w:ind w:left="2160" w:hanging="360"/>
      </w:pPr>
    </w:lvl>
    <w:lvl w:ilvl="3" w:tplc="7B585DFC">
      <w:start w:val="1"/>
      <w:numFmt w:val="bullet"/>
      <w:lvlText w:val="●"/>
      <w:lvlJc w:val="left"/>
      <w:pPr>
        <w:ind w:left="2880" w:hanging="360"/>
      </w:pPr>
    </w:lvl>
    <w:lvl w:ilvl="4" w:tplc="20A492A8">
      <w:start w:val="1"/>
      <w:numFmt w:val="bullet"/>
      <w:lvlText w:val="○"/>
      <w:lvlJc w:val="left"/>
      <w:pPr>
        <w:ind w:left="3600" w:hanging="360"/>
      </w:pPr>
    </w:lvl>
    <w:lvl w:ilvl="5" w:tplc="9C6A20F4">
      <w:start w:val="1"/>
      <w:numFmt w:val="bullet"/>
      <w:lvlText w:val="■"/>
      <w:lvlJc w:val="left"/>
      <w:pPr>
        <w:ind w:left="4320" w:hanging="360"/>
      </w:pPr>
    </w:lvl>
    <w:lvl w:ilvl="6" w:tplc="AE9C1812">
      <w:start w:val="1"/>
      <w:numFmt w:val="bullet"/>
      <w:lvlText w:val="●"/>
      <w:lvlJc w:val="left"/>
      <w:pPr>
        <w:ind w:left="5040" w:hanging="360"/>
      </w:pPr>
    </w:lvl>
    <w:lvl w:ilvl="7" w:tplc="BC7EA492">
      <w:start w:val="1"/>
      <w:numFmt w:val="bullet"/>
      <w:lvlText w:val="●"/>
      <w:lvlJc w:val="left"/>
      <w:pPr>
        <w:ind w:left="5760" w:hanging="360"/>
      </w:pPr>
    </w:lvl>
    <w:lvl w:ilvl="8" w:tplc="2696AE0C">
      <w:start w:val="1"/>
      <w:numFmt w:val="bullet"/>
      <w:lvlText w:val="●"/>
      <w:lvlJc w:val="left"/>
      <w:pPr>
        <w:ind w:left="6480" w:hanging="360"/>
      </w:pPr>
    </w:lvl>
  </w:abstractNum>
  <w:num w:numId="1" w16cid:durableId="1388530437">
    <w:abstractNumId w:val="1"/>
    <w:lvlOverride w:ilvl="0">
      <w:startOverride w:val="1"/>
    </w:lvlOverride>
  </w:num>
  <w:num w:numId="2" w16cid:durableId="1097410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F70"/>
    <w:rsid w:val="000020FD"/>
    <w:rsid w:val="000023F8"/>
    <w:rsid w:val="000067F3"/>
    <w:rsid w:val="000170FB"/>
    <w:rsid w:val="00023967"/>
    <w:rsid w:val="00030ABF"/>
    <w:rsid w:val="00031E05"/>
    <w:rsid w:val="0004042B"/>
    <w:rsid w:val="00045812"/>
    <w:rsid w:val="00047599"/>
    <w:rsid w:val="000642A3"/>
    <w:rsid w:val="0006543B"/>
    <w:rsid w:val="00067E8A"/>
    <w:rsid w:val="00084F9F"/>
    <w:rsid w:val="000949C5"/>
    <w:rsid w:val="00097EC5"/>
    <w:rsid w:val="000A27E6"/>
    <w:rsid w:val="000A401D"/>
    <w:rsid w:val="000A6258"/>
    <w:rsid w:val="000B447E"/>
    <w:rsid w:val="000B4EAA"/>
    <w:rsid w:val="000C5E1A"/>
    <w:rsid w:val="000C6773"/>
    <w:rsid w:val="000D7165"/>
    <w:rsid w:val="000F0EA1"/>
    <w:rsid w:val="00112ED6"/>
    <w:rsid w:val="00116A21"/>
    <w:rsid w:val="001171F6"/>
    <w:rsid w:val="00132B6E"/>
    <w:rsid w:val="00142B35"/>
    <w:rsid w:val="00177FD6"/>
    <w:rsid w:val="00181B98"/>
    <w:rsid w:val="00182A7A"/>
    <w:rsid w:val="001A24ED"/>
    <w:rsid w:val="001E0370"/>
    <w:rsid w:val="001E0E9A"/>
    <w:rsid w:val="001E3347"/>
    <w:rsid w:val="001E6AFD"/>
    <w:rsid w:val="001F0B94"/>
    <w:rsid w:val="001F3628"/>
    <w:rsid w:val="002155B1"/>
    <w:rsid w:val="00234085"/>
    <w:rsid w:val="00236173"/>
    <w:rsid w:val="002432F1"/>
    <w:rsid w:val="00251226"/>
    <w:rsid w:val="00255311"/>
    <w:rsid w:val="00262A21"/>
    <w:rsid w:val="002710F9"/>
    <w:rsid w:val="002723BF"/>
    <w:rsid w:val="00274976"/>
    <w:rsid w:val="002859B9"/>
    <w:rsid w:val="002A1A5F"/>
    <w:rsid w:val="002A734F"/>
    <w:rsid w:val="002B24DC"/>
    <w:rsid w:val="002B53CB"/>
    <w:rsid w:val="002D35A1"/>
    <w:rsid w:val="002D37F0"/>
    <w:rsid w:val="002E02B2"/>
    <w:rsid w:val="002E63C5"/>
    <w:rsid w:val="002E6BBE"/>
    <w:rsid w:val="002F626C"/>
    <w:rsid w:val="00306B10"/>
    <w:rsid w:val="0033346C"/>
    <w:rsid w:val="003355BE"/>
    <w:rsid w:val="00340A18"/>
    <w:rsid w:val="00343995"/>
    <w:rsid w:val="003543BD"/>
    <w:rsid w:val="003757B6"/>
    <w:rsid w:val="003813B4"/>
    <w:rsid w:val="003852E6"/>
    <w:rsid w:val="00397497"/>
    <w:rsid w:val="003A1E3B"/>
    <w:rsid w:val="003A646A"/>
    <w:rsid w:val="003B0389"/>
    <w:rsid w:val="003B74A7"/>
    <w:rsid w:val="003C3B71"/>
    <w:rsid w:val="003D7D62"/>
    <w:rsid w:val="003E7441"/>
    <w:rsid w:val="003F3F78"/>
    <w:rsid w:val="00400684"/>
    <w:rsid w:val="00403CE7"/>
    <w:rsid w:val="00404AF4"/>
    <w:rsid w:val="00410A60"/>
    <w:rsid w:val="00414920"/>
    <w:rsid w:val="00416FA5"/>
    <w:rsid w:val="00426193"/>
    <w:rsid w:val="004338F5"/>
    <w:rsid w:val="004344CA"/>
    <w:rsid w:val="00444212"/>
    <w:rsid w:val="00454472"/>
    <w:rsid w:val="004545A2"/>
    <w:rsid w:val="00457A82"/>
    <w:rsid w:val="00460E43"/>
    <w:rsid w:val="00460E78"/>
    <w:rsid w:val="00470AFB"/>
    <w:rsid w:val="00470FFB"/>
    <w:rsid w:val="004745B1"/>
    <w:rsid w:val="00482948"/>
    <w:rsid w:val="00495FD7"/>
    <w:rsid w:val="004A01B3"/>
    <w:rsid w:val="004B20A9"/>
    <w:rsid w:val="004B2FEF"/>
    <w:rsid w:val="004E3AE5"/>
    <w:rsid w:val="004E55ED"/>
    <w:rsid w:val="00511D34"/>
    <w:rsid w:val="00513221"/>
    <w:rsid w:val="005203A0"/>
    <w:rsid w:val="00525E06"/>
    <w:rsid w:val="00536240"/>
    <w:rsid w:val="00547D4F"/>
    <w:rsid w:val="0055537F"/>
    <w:rsid w:val="00565DBD"/>
    <w:rsid w:val="00572536"/>
    <w:rsid w:val="00573299"/>
    <w:rsid w:val="005740B0"/>
    <w:rsid w:val="00580EBB"/>
    <w:rsid w:val="00584AFE"/>
    <w:rsid w:val="005905A7"/>
    <w:rsid w:val="00592707"/>
    <w:rsid w:val="005D0DDE"/>
    <w:rsid w:val="005E00CB"/>
    <w:rsid w:val="005E61D8"/>
    <w:rsid w:val="005F21E0"/>
    <w:rsid w:val="005F5DAF"/>
    <w:rsid w:val="0060197D"/>
    <w:rsid w:val="00622C45"/>
    <w:rsid w:val="00627CAB"/>
    <w:rsid w:val="006378C3"/>
    <w:rsid w:val="00637F3F"/>
    <w:rsid w:val="006538E2"/>
    <w:rsid w:val="00655F98"/>
    <w:rsid w:val="006638D0"/>
    <w:rsid w:val="00664075"/>
    <w:rsid w:val="00670921"/>
    <w:rsid w:val="006813AF"/>
    <w:rsid w:val="00694184"/>
    <w:rsid w:val="00695C9E"/>
    <w:rsid w:val="006A31AB"/>
    <w:rsid w:val="006D5E6F"/>
    <w:rsid w:val="006F3757"/>
    <w:rsid w:val="006F495B"/>
    <w:rsid w:val="007016C2"/>
    <w:rsid w:val="007038DF"/>
    <w:rsid w:val="00720533"/>
    <w:rsid w:val="00720D12"/>
    <w:rsid w:val="00744ACA"/>
    <w:rsid w:val="00756187"/>
    <w:rsid w:val="00757B8B"/>
    <w:rsid w:val="00766A99"/>
    <w:rsid w:val="00776F3D"/>
    <w:rsid w:val="007800B2"/>
    <w:rsid w:val="007841F6"/>
    <w:rsid w:val="0078462A"/>
    <w:rsid w:val="00790CD8"/>
    <w:rsid w:val="0079165F"/>
    <w:rsid w:val="00795CC1"/>
    <w:rsid w:val="00796C39"/>
    <w:rsid w:val="007B34E3"/>
    <w:rsid w:val="007B3631"/>
    <w:rsid w:val="007B4DCA"/>
    <w:rsid w:val="007C143D"/>
    <w:rsid w:val="007D12FB"/>
    <w:rsid w:val="007D267A"/>
    <w:rsid w:val="007E397B"/>
    <w:rsid w:val="00800031"/>
    <w:rsid w:val="00801CA9"/>
    <w:rsid w:val="00806E07"/>
    <w:rsid w:val="008172D0"/>
    <w:rsid w:val="008221B9"/>
    <w:rsid w:val="00844C2D"/>
    <w:rsid w:val="008573DD"/>
    <w:rsid w:val="00867B13"/>
    <w:rsid w:val="00873440"/>
    <w:rsid w:val="00886B35"/>
    <w:rsid w:val="00886D7F"/>
    <w:rsid w:val="00887445"/>
    <w:rsid w:val="00891692"/>
    <w:rsid w:val="00892295"/>
    <w:rsid w:val="008933A7"/>
    <w:rsid w:val="0089582A"/>
    <w:rsid w:val="008A0126"/>
    <w:rsid w:val="008B2E45"/>
    <w:rsid w:val="008E7070"/>
    <w:rsid w:val="008F5F65"/>
    <w:rsid w:val="00927C58"/>
    <w:rsid w:val="00935704"/>
    <w:rsid w:val="00940076"/>
    <w:rsid w:val="00942EE8"/>
    <w:rsid w:val="0095081E"/>
    <w:rsid w:val="00953252"/>
    <w:rsid w:val="00966E66"/>
    <w:rsid w:val="009732AE"/>
    <w:rsid w:val="00973A0D"/>
    <w:rsid w:val="00974093"/>
    <w:rsid w:val="009931A6"/>
    <w:rsid w:val="009B426C"/>
    <w:rsid w:val="009B5526"/>
    <w:rsid w:val="009C43CC"/>
    <w:rsid w:val="009C6C6A"/>
    <w:rsid w:val="009E1B2B"/>
    <w:rsid w:val="009F4ACA"/>
    <w:rsid w:val="00A16506"/>
    <w:rsid w:val="00A17958"/>
    <w:rsid w:val="00A20278"/>
    <w:rsid w:val="00A214B5"/>
    <w:rsid w:val="00A2289D"/>
    <w:rsid w:val="00A41EEA"/>
    <w:rsid w:val="00A46254"/>
    <w:rsid w:val="00A54C7C"/>
    <w:rsid w:val="00A563A5"/>
    <w:rsid w:val="00A723EA"/>
    <w:rsid w:val="00A76391"/>
    <w:rsid w:val="00A9366F"/>
    <w:rsid w:val="00AB1AB6"/>
    <w:rsid w:val="00AC23D6"/>
    <w:rsid w:val="00AC6B83"/>
    <w:rsid w:val="00AD3540"/>
    <w:rsid w:val="00AD3ABB"/>
    <w:rsid w:val="00AE5B88"/>
    <w:rsid w:val="00B13489"/>
    <w:rsid w:val="00B13C75"/>
    <w:rsid w:val="00B234E3"/>
    <w:rsid w:val="00B30E46"/>
    <w:rsid w:val="00B340DE"/>
    <w:rsid w:val="00B361DA"/>
    <w:rsid w:val="00B36455"/>
    <w:rsid w:val="00B41F17"/>
    <w:rsid w:val="00B4373E"/>
    <w:rsid w:val="00B507A5"/>
    <w:rsid w:val="00B53776"/>
    <w:rsid w:val="00B54562"/>
    <w:rsid w:val="00B6559D"/>
    <w:rsid w:val="00B7001D"/>
    <w:rsid w:val="00B75930"/>
    <w:rsid w:val="00B80BEA"/>
    <w:rsid w:val="00B81917"/>
    <w:rsid w:val="00B83C3A"/>
    <w:rsid w:val="00B86EFB"/>
    <w:rsid w:val="00B87612"/>
    <w:rsid w:val="00B87777"/>
    <w:rsid w:val="00B87FA7"/>
    <w:rsid w:val="00BA24F0"/>
    <w:rsid w:val="00BB19FA"/>
    <w:rsid w:val="00BF3CF0"/>
    <w:rsid w:val="00BF79D9"/>
    <w:rsid w:val="00C117CD"/>
    <w:rsid w:val="00C1437D"/>
    <w:rsid w:val="00C1680D"/>
    <w:rsid w:val="00C26747"/>
    <w:rsid w:val="00C5468F"/>
    <w:rsid w:val="00C554CF"/>
    <w:rsid w:val="00C71F8F"/>
    <w:rsid w:val="00C94987"/>
    <w:rsid w:val="00C95328"/>
    <w:rsid w:val="00C9541B"/>
    <w:rsid w:val="00CA33D4"/>
    <w:rsid w:val="00CA40C8"/>
    <w:rsid w:val="00CB451F"/>
    <w:rsid w:val="00CB47E4"/>
    <w:rsid w:val="00CB6B93"/>
    <w:rsid w:val="00CC4B9E"/>
    <w:rsid w:val="00CC6D74"/>
    <w:rsid w:val="00CD62AA"/>
    <w:rsid w:val="00CD7AA2"/>
    <w:rsid w:val="00CF528A"/>
    <w:rsid w:val="00D02F03"/>
    <w:rsid w:val="00D11DA8"/>
    <w:rsid w:val="00D30FDF"/>
    <w:rsid w:val="00D41194"/>
    <w:rsid w:val="00D847A5"/>
    <w:rsid w:val="00D90BAC"/>
    <w:rsid w:val="00D92B7E"/>
    <w:rsid w:val="00D97B4F"/>
    <w:rsid w:val="00DA6373"/>
    <w:rsid w:val="00DB18AD"/>
    <w:rsid w:val="00DC48B9"/>
    <w:rsid w:val="00DC6837"/>
    <w:rsid w:val="00DD3B62"/>
    <w:rsid w:val="00DE3FF8"/>
    <w:rsid w:val="00E2053E"/>
    <w:rsid w:val="00E32F4D"/>
    <w:rsid w:val="00E45E18"/>
    <w:rsid w:val="00E509FA"/>
    <w:rsid w:val="00E53D3B"/>
    <w:rsid w:val="00E55F1C"/>
    <w:rsid w:val="00E62CCA"/>
    <w:rsid w:val="00E81724"/>
    <w:rsid w:val="00E81E09"/>
    <w:rsid w:val="00E960E8"/>
    <w:rsid w:val="00EA5443"/>
    <w:rsid w:val="00EB5F70"/>
    <w:rsid w:val="00EC00CB"/>
    <w:rsid w:val="00EC01F2"/>
    <w:rsid w:val="00EC602C"/>
    <w:rsid w:val="00ED017A"/>
    <w:rsid w:val="00ED28FE"/>
    <w:rsid w:val="00EE01C2"/>
    <w:rsid w:val="00EE56B9"/>
    <w:rsid w:val="00EF3B20"/>
    <w:rsid w:val="00F3448F"/>
    <w:rsid w:val="00F37A28"/>
    <w:rsid w:val="00F4164A"/>
    <w:rsid w:val="00F44C32"/>
    <w:rsid w:val="00F644AA"/>
    <w:rsid w:val="00F8192B"/>
    <w:rsid w:val="00F94FA6"/>
    <w:rsid w:val="00F972B6"/>
    <w:rsid w:val="00F97A03"/>
    <w:rsid w:val="00FB4C18"/>
    <w:rsid w:val="00FC34E6"/>
    <w:rsid w:val="00FD4AEB"/>
    <w:rsid w:val="00FE69D6"/>
    <w:rsid w:val="00FF19A3"/>
    <w:rsid w:val="00FF45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2DAE9"/>
  <w15:chartTrackingRefBased/>
  <w15:docId w15:val="{B920C887-6BA0-407B-96C7-4090ED7E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0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70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0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0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0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0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5F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5F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5F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F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5F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5F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5F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5F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5F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5F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5F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5F70"/>
    <w:rPr>
      <w:rFonts w:eastAsiaTheme="majorEastAsia" w:cstheme="majorBidi"/>
      <w:color w:val="272727" w:themeColor="text1" w:themeTint="D8"/>
    </w:rPr>
  </w:style>
  <w:style w:type="paragraph" w:styleId="Title">
    <w:name w:val="Title"/>
    <w:basedOn w:val="Normal"/>
    <w:next w:val="Normal"/>
    <w:link w:val="TitleChar"/>
    <w:uiPriority w:val="10"/>
    <w:qFormat/>
    <w:rsid w:val="000170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F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5F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5F70"/>
    <w:pPr>
      <w:spacing w:before="160"/>
      <w:jc w:val="center"/>
    </w:pPr>
    <w:rPr>
      <w:i/>
      <w:iCs/>
      <w:color w:val="404040" w:themeColor="text1" w:themeTint="BF"/>
    </w:rPr>
  </w:style>
  <w:style w:type="character" w:customStyle="1" w:styleId="QuoteChar">
    <w:name w:val="Quote Char"/>
    <w:basedOn w:val="DefaultParagraphFont"/>
    <w:link w:val="Quote"/>
    <w:uiPriority w:val="29"/>
    <w:rsid w:val="00EB5F70"/>
    <w:rPr>
      <w:i/>
      <w:iCs/>
      <w:color w:val="404040" w:themeColor="text1" w:themeTint="BF"/>
    </w:rPr>
  </w:style>
  <w:style w:type="paragraph" w:styleId="ListParagraph">
    <w:name w:val="List Paragraph"/>
    <w:basedOn w:val="Normal"/>
    <w:qFormat/>
    <w:rsid w:val="000170FB"/>
    <w:pPr>
      <w:ind w:left="720"/>
      <w:contextualSpacing/>
    </w:pPr>
  </w:style>
  <w:style w:type="character" w:styleId="IntenseEmphasis">
    <w:name w:val="Intense Emphasis"/>
    <w:basedOn w:val="DefaultParagraphFont"/>
    <w:uiPriority w:val="21"/>
    <w:qFormat/>
    <w:rsid w:val="00EB5F70"/>
    <w:rPr>
      <w:i/>
      <w:iCs/>
      <w:color w:val="0F4761" w:themeColor="accent1" w:themeShade="BF"/>
    </w:rPr>
  </w:style>
  <w:style w:type="paragraph" w:styleId="IntenseQuote">
    <w:name w:val="Intense Quote"/>
    <w:basedOn w:val="Normal"/>
    <w:next w:val="Normal"/>
    <w:link w:val="IntenseQuoteChar"/>
    <w:uiPriority w:val="30"/>
    <w:qFormat/>
    <w:rsid w:val="00EB5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5F70"/>
    <w:rPr>
      <w:i/>
      <w:iCs/>
      <w:color w:val="0F4761" w:themeColor="accent1" w:themeShade="BF"/>
    </w:rPr>
  </w:style>
  <w:style w:type="character" w:styleId="IntenseReference">
    <w:name w:val="Intense Reference"/>
    <w:basedOn w:val="DefaultParagraphFont"/>
    <w:uiPriority w:val="32"/>
    <w:qFormat/>
    <w:rsid w:val="00EB5F70"/>
    <w:rPr>
      <w:b/>
      <w:bCs/>
      <w:smallCaps/>
      <w:color w:val="0F4761" w:themeColor="accent1" w:themeShade="BF"/>
      <w:spacing w:val="5"/>
    </w:rPr>
  </w:style>
  <w:style w:type="character" w:styleId="Hyperlink">
    <w:name w:val="Hyperlink"/>
    <w:uiPriority w:val="99"/>
    <w:unhideWhenUsed/>
    <w:rsid w:val="00EB5F70"/>
    <w:rPr>
      <w:color w:val="0563C1"/>
      <w:u w:val="single"/>
    </w:rPr>
  </w:style>
  <w:style w:type="character" w:styleId="FootnoteReference">
    <w:name w:val="footnote reference"/>
    <w:aliases w:val="Ref,de nota al pie,fr,a Footnote Reference,JFR-Fußnotenzeichen,Footnote Reference Number,Footnote Reference_LVL6,Footnote Reference_LVL61,Footnote Reference_LVL62,Footnote Reference_LVL63,Footnote Reference_LVL64,ftref,16 Point,[0]"/>
    <w:uiPriority w:val="99"/>
    <w:unhideWhenUsed/>
    <w:qFormat/>
    <w:rsid w:val="00EB5F70"/>
    <w:rPr>
      <w:vertAlign w:val="superscript"/>
    </w:rPr>
  </w:style>
  <w:style w:type="paragraph" w:styleId="FootnoteText">
    <w:name w:val="footnote text"/>
    <w:link w:val="FootnoteTextChar"/>
    <w:uiPriority w:val="99"/>
    <w:semiHidden/>
    <w:unhideWhenUsed/>
    <w:rsid w:val="000170FB"/>
    <w:pPr>
      <w:spacing w:after="0" w:line="240" w:lineRule="auto"/>
    </w:pPr>
    <w:rPr>
      <w:rFonts w:ascii="Times New Roman" w:eastAsia="Times New Roman" w:hAnsi="Times New Roman" w:cs="Times New Roman"/>
      <w:kern w:val="0"/>
      <w:sz w:val="20"/>
      <w:szCs w:val="20"/>
      <w:lang w:val="en-AU" w:eastAsia="en-AU"/>
      <w14:ligatures w14:val="none"/>
    </w:rPr>
  </w:style>
  <w:style w:type="character" w:customStyle="1" w:styleId="FootnoteTextChar">
    <w:name w:val="Footnote Text Char"/>
    <w:basedOn w:val="DefaultParagraphFont"/>
    <w:link w:val="FootnoteText"/>
    <w:uiPriority w:val="99"/>
    <w:semiHidden/>
    <w:rsid w:val="00EB5F70"/>
    <w:rPr>
      <w:rFonts w:ascii="Times New Roman" w:eastAsia="Times New Roman" w:hAnsi="Times New Roman" w:cs="Times New Roman"/>
      <w:kern w:val="0"/>
      <w:sz w:val="20"/>
      <w:szCs w:val="20"/>
      <w:lang w:val="en-AU" w:eastAsia="en-AU"/>
      <w14:ligatures w14:val="none"/>
    </w:rPr>
  </w:style>
  <w:style w:type="character" w:styleId="Strong">
    <w:name w:val="Strong"/>
    <w:basedOn w:val="DefaultParagraphFont"/>
    <w:uiPriority w:val="22"/>
    <w:qFormat/>
    <w:rsid w:val="00EB5F70"/>
    <w:rPr>
      <w:b/>
      <w:bCs/>
    </w:rPr>
  </w:style>
  <w:style w:type="character" w:styleId="Emphasis">
    <w:name w:val="Emphasis"/>
    <w:basedOn w:val="DefaultParagraphFont"/>
    <w:uiPriority w:val="20"/>
    <w:qFormat/>
    <w:rsid w:val="00EB5F70"/>
    <w:rPr>
      <w:i/>
      <w:iCs/>
    </w:rPr>
  </w:style>
  <w:style w:type="character" w:styleId="UnresolvedMention">
    <w:name w:val="Unresolved Mention"/>
    <w:basedOn w:val="DefaultParagraphFont"/>
    <w:uiPriority w:val="99"/>
    <w:semiHidden/>
    <w:unhideWhenUsed/>
    <w:rsid w:val="00B30E46"/>
    <w:rPr>
      <w:color w:val="605E5C"/>
      <w:shd w:val="clear" w:color="auto" w:fill="E1DFDD"/>
    </w:rPr>
  </w:style>
  <w:style w:type="character" w:styleId="CommentReference">
    <w:name w:val="annotation reference"/>
    <w:basedOn w:val="DefaultParagraphFont"/>
    <w:uiPriority w:val="99"/>
    <w:semiHidden/>
    <w:unhideWhenUsed/>
    <w:rsid w:val="00547D4F"/>
    <w:rPr>
      <w:sz w:val="16"/>
      <w:szCs w:val="16"/>
    </w:rPr>
  </w:style>
  <w:style w:type="paragraph" w:styleId="CommentText">
    <w:name w:val="annotation text"/>
    <w:basedOn w:val="Normal"/>
    <w:link w:val="CommentTextChar"/>
    <w:uiPriority w:val="99"/>
    <w:unhideWhenUsed/>
    <w:rsid w:val="00547D4F"/>
    <w:pPr>
      <w:spacing w:line="240" w:lineRule="auto"/>
    </w:pPr>
    <w:rPr>
      <w:sz w:val="20"/>
      <w:szCs w:val="20"/>
    </w:rPr>
  </w:style>
  <w:style w:type="character" w:customStyle="1" w:styleId="CommentTextChar">
    <w:name w:val="Comment Text Char"/>
    <w:basedOn w:val="DefaultParagraphFont"/>
    <w:link w:val="CommentText"/>
    <w:uiPriority w:val="99"/>
    <w:rsid w:val="00547D4F"/>
    <w:rPr>
      <w:sz w:val="20"/>
      <w:szCs w:val="20"/>
    </w:rPr>
  </w:style>
  <w:style w:type="paragraph" w:styleId="CommentSubject">
    <w:name w:val="annotation subject"/>
    <w:basedOn w:val="CommentText"/>
    <w:next w:val="CommentText"/>
    <w:link w:val="CommentSubjectChar"/>
    <w:uiPriority w:val="99"/>
    <w:semiHidden/>
    <w:unhideWhenUsed/>
    <w:rsid w:val="00547D4F"/>
    <w:rPr>
      <w:b/>
      <w:bCs/>
    </w:rPr>
  </w:style>
  <w:style w:type="character" w:customStyle="1" w:styleId="CommentSubjectChar">
    <w:name w:val="Comment Subject Char"/>
    <w:basedOn w:val="CommentTextChar"/>
    <w:link w:val="CommentSubject"/>
    <w:uiPriority w:val="99"/>
    <w:semiHidden/>
    <w:rsid w:val="00547D4F"/>
    <w:rPr>
      <w:b/>
      <w:bCs/>
      <w:sz w:val="20"/>
      <w:szCs w:val="20"/>
    </w:rPr>
  </w:style>
  <w:style w:type="paragraph" w:customStyle="1" w:styleId="Strong1">
    <w:name w:val="Strong1"/>
    <w:qFormat/>
    <w:rsid w:val="000170FB"/>
    <w:pPr>
      <w:spacing w:after="0" w:line="240" w:lineRule="auto"/>
    </w:pPr>
    <w:rPr>
      <w:rFonts w:ascii="Times New Roman" w:eastAsia="Times New Roman" w:hAnsi="Times New Roman" w:cs="Times New Roman"/>
      <w:b/>
      <w:bCs/>
      <w:kern w:val="0"/>
      <w:sz w:val="24"/>
      <w:szCs w:val="24"/>
      <w:lang w:val="en-AU" w:eastAsia="en-AU"/>
      <w14:ligatures w14:val="none"/>
    </w:rPr>
  </w:style>
  <w:style w:type="paragraph" w:styleId="EndnoteText">
    <w:name w:val="endnote text"/>
    <w:basedOn w:val="Normal"/>
    <w:link w:val="EndnoteTextChar"/>
    <w:uiPriority w:val="99"/>
    <w:semiHidden/>
    <w:unhideWhenUsed/>
    <w:rsid w:val="000170FB"/>
    <w:pPr>
      <w:spacing w:after="0" w:line="240" w:lineRule="auto"/>
    </w:pPr>
    <w:rPr>
      <w:rFonts w:ascii="Times New Roman" w:eastAsia="Times New Roman" w:hAnsi="Times New Roman" w:cs="Times New Roman"/>
      <w:kern w:val="0"/>
      <w:sz w:val="20"/>
      <w:szCs w:val="20"/>
      <w:lang w:val="en-AU" w:eastAsia="en-AU"/>
      <w14:ligatures w14:val="none"/>
    </w:rPr>
  </w:style>
  <w:style w:type="character" w:customStyle="1" w:styleId="EndnoteTextChar">
    <w:name w:val="Endnote Text Char"/>
    <w:basedOn w:val="DefaultParagraphFont"/>
    <w:link w:val="EndnoteText"/>
    <w:uiPriority w:val="99"/>
    <w:semiHidden/>
    <w:rsid w:val="000170FB"/>
    <w:rPr>
      <w:rFonts w:ascii="Times New Roman" w:eastAsia="Times New Roman" w:hAnsi="Times New Roman" w:cs="Times New Roman"/>
      <w:kern w:val="0"/>
      <w:sz w:val="20"/>
      <w:szCs w:val="20"/>
      <w:lang w:val="en-AU" w:eastAsia="en-AU"/>
      <w14:ligatures w14:val="none"/>
    </w:rPr>
  </w:style>
  <w:style w:type="character" w:styleId="EndnoteReference">
    <w:name w:val="endnote reference"/>
    <w:basedOn w:val="DefaultParagraphFont"/>
    <w:uiPriority w:val="99"/>
    <w:semiHidden/>
    <w:unhideWhenUsed/>
    <w:rsid w:val="000170FB"/>
    <w:rPr>
      <w:vertAlign w:val="superscript"/>
    </w:rPr>
  </w:style>
  <w:style w:type="paragraph" w:customStyle="1" w:styleId="isselectedend">
    <w:name w:val="isselectedend"/>
    <w:basedOn w:val="Normal"/>
    <w:rsid w:val="000170FB"/>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paragraph" w:styleId="NormalWeb">
    <w:name w:val="Normal (Web)"/>
    <w:basedOn w:val="Normal"/>
    <w:uiPriority w:val="99"/>
    <w:semiHidden/>
    <w:unhideWhenUsed/>
    <w:rsid w:val="000170FB"/>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paragraph" w:customStyle="1" w:styleId="font-claude-response-body">
    <w:name w:val="font-claude-response-body"/>
    <w:basedOn w:val="Normal"/>
    <w:rsid w:val="000170FB"/>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paragraph" w:customStyle="1" w:styleId="is-empty">
    <w:name w:val="is-empty"/>
    <w:basedOn w:val="Normal"/>
    <w:rsid w:val="000170FB"/>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character" w:customStyle="1" w:styleId="text-text-500">
    <w:name w:val="text-text-500"/>
    <w:basedOn w:val="DefaultParagraphFont"/>
    <w:rsid w:val="000170FB"/>
  </w:style>
  <w:style w:type="paragraph" w:styleId="Header">
    <w:name w:val="header"/>
    <w:basedOn w:val="Normal"/>
    <w:link w:val="HeaderChar"/>
    <w:uiPriority w:val="99"/>
    <w:unhideWhenUsed/>
    <w:rsid w:val="000170FB"/>
    <w:pPr>
      <w:tabs>
        <w:tab w:val="center" w:pos="4513"/>
        <w:tab w:val="right" w:pos="9026"/>
      </w:tabs>
      <w:spacing w:after="0" w:line="240" w:lineRule="auto"/>
    </w:pPr>
    <w:rPr>
      <w:rFonts w:ascii="Times New Roman" w:eastAsia="Times New Roman" w:hAnsi="Times New Roman" w:cs="Times New Roman"/>
      <w:kern w:val="0"/>
      <w:sz w:val="24"/>
      <w:szCs w:val="24"/>
      <w:lang w:val="en-AU" w:eastAsia="en-AU"/>
      <w14:ligatures w14:val="none"/>
    </w:rPr>
  </w:style>
  <w:style w:type="character" w:customStyle="1" w:styleId="HeaderChar">
    <w:name w:val="Header Char"/>
    <w:basedOn w:val="DefaultParagraphFont"/>
    <w:link w:val="Header"/>
    <w:uiPriority w:val="99"/>
    <w:rsid w:val="000170FB"/>
    <w:rPr>
      <w:rFonts w:ascii="Times New Roman" w:eastAsia="Times New Roman" w:hAnsi="Times New Roman" w:cs="Times New Roman"/>
      <w:kern w:val="0"/>
      <w:sz w:val="24"/>
      <w:szCs w:val="24"/>
      <w:lang w:val="en-AU" w:eastAsia="en-AU"/>
      <w14:ligatures w14:val="none"/>
    </w:rPr>
  </w:style>
  <w:style w:type="paragraph" w:styleId="Footer">
    <w:name w:val="footer"/>
    <w:basedOn w:val="Normal"/>
    <w:link w:val="FooterChar"/>
    <w:uiPriority w:val="99"/>
    <w:unhideWhenUsed/>
    <w:rsid w:val="000170FB"/>
    <w:pPr>
      <w:tabs>
        <w:tab w:val="center" w:pos="4513"/>
        <w:tab w:val="right" w:pos="9026"/>
      </w:tabs>
      <w:spacing w:after="0" w:line="240" w:lineRule="auto"/>
    </w:pPr>
    <w:rPr>
      <w:rFonts w:ascii="Times New Roman" w:eastAsia="Times New Roman" w:hAnsi="Times New Roman" w:cs="Times New Roman"/>
      <w:kern w:val="0"/>
      <w:sz w:val="24"/>
      <w:szCs w:val="24"/>
      <w:lang w:val="en-AU" w:eastAsia="en-AU"/>
      <w14:ligatures w14:val="none"/>
    </w:rPr>
  </w:style>
  <w:style w:type="character" w:customStyle="1" w:styleId="FooterChar">
    <w:name w:val="Footer Char"/>
    <w:basedOn w:val="DefaultParagraphFont"/>
    <w:link w:val="Footer"/>
    <w:uiPriority w:val="99"/>
    <w:rsid w:val="000170FB"/>
    <w:rPr>
      <w:rFonts w:ascii="Times New Roman" w:eastAsia="Times New Roman" w:hAnsi="Times New Roman" w:cs="Times New Roman"/>
      <w:kern w:val="0"/>
      <w:sz w:val="24"/>
      <w:szCs w:val="24"/>
      <w:lang w:val="en-AU" w:eastAsia="en-AU"/>
      <w14:ligatures w14:val="none"/>
    </w:rPr>
  </w:style>
  <w:style w:type="paragraph" w:styleId="Revision">
    <w:name w:val="Revision"/>
    <w:hidden/>
    <w:uiPriority w:val="99"/>
    <w:semiHidden/>
    <w:rsid w:val="000170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3-eu-west-2.amazonaws.com/cloud-platform-e218f50a4812967ba1215eaecede923f/uploads/sites/30/2022/01/Automated-vehicles-joint-report-cvr-03-02-2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journals.law.harvard.edu/elr/wp-content/uploads/sites/79/2019/08/34.1-Craig.pdf" TargetMode="External"/><Relationship Id="rId13" Type="http://schemas.openxmlformats.org/officeDocument/2006/relationships/hyperlink" Target="http://www.fire.ca.gov/our-impact/statistics" TargetMode="External"/><Relationship Id="rId18" Type="http://schemas.openxmlformats.org/officeDocument/2006/relationships/hyperlink" Target="http://www.cfpnet.com" TargetMode="External"/><Relationship Id="rId26" Type="http://schemas.openxmlformats.org/officeDocument/2006/relationships/hyperlink" Target="https://insurtechdigital.com/articles/digital-twins-a-transformative-force-in-property-insurance" TargetMode="External"/><Relationship Id="rId3" Type="http://schemas.openxmlformats.org/officeDocument/2006/relationships/hyperlink" Target="https://naic.soutronglobal.net/Portal/Public/en-US/DownloadImageFile.ashx?objectId=10178&amp;ownerType=0&amp;ownerId=26558" TargetMode="External"/><Relationship Id="rId21" Type="http://schemas.openxmlformats.org/officeDocument/2006/relationships/hyperlink" Target="http://www.fire.ca.gov/our-impact/statistics" TargetMode="External"/><Relationship Id="rId7" Type="http://schemas.openxmlformats.org/officeDocument/2006/relationships/hyperlink" Target="https://www.law.berkeley.edu/files/CLEE/Milly_2008_Science_StationarityIsDead.pdf" TargetMode="External"/><Relationship Id="rId12" Type="http://schemas.openxmlformats.org/officeDocument/2006/relationships/hyperlink" Target="https://www.clydeco.com/en/news/2025/12/clyde-co-unveils-emerging-risks-for-insurers-in-20" TargetMode="External"/><Relationship Id="rId17" Type="http://schemas.openxmlformats.org/officeDocument/2006/relationships/hyperlink" Target="http://www.insurance.ca.gov" TargetMode="External"/><Relationship Id="rId25" Type="http://schemas.openxmlformats.org/officeDocument/2006/relationships/hyperlink" Target="https://d.docs.live.net/e637cdf51dfafd67/www.insurance.ca.gov" TargetMode="External"/><Relationship Id="rId2" Type="http://schemas.openxmlformats.org/officeDocument/2006/relationships/hyperlink" Target="https://www.minterellison.co.nz/insights/industry-overhaul-contracts-of-insurance-act-2024" TargetMode="External"/><Relationship Id="rId16" Type="http://schemas.openxmlformats.org/officeDocument/2006/relationships/hyperlink" Target="http://www.cfpnet.com/about-fair-plan" TargetMode="External"/><Relationship Id="rId20" Type="http://schemas.openxmlformats.org/officeDocument/2006/relationships/hyperlink" Target="http://www.cfpnet.com" TargetMode="External"/><Relationship Id="rId29" Type="http://schemas.openxmlformats.org/officeDocument/2006/relationships/hyperlink" Target="https://cms-lawnow.com/en/ealerts/2024/07/automated-vehicles-act-2024-a-deeper-dive-into-its-key-implications-for-the-automotive-sector" TargetMode="External"/><Relationship Id="rId1" Type="http://schemas.openxmlformats.org/officeDocument/2006/relationships/hyperlink" Target="https://sclqld.org.au/catalogue/records/52579" TargetMode="External"/><Relationship Id="rId6" Type="http://schemas.openxmlformats.org/officeDocument/2006/relationships/hyperlink" Target="https://www.insdevforum.org/wp-content/uploads/2020/08/How-technology-can-help-bridge-the-protection-gap-report-.pdf" TargetMode="External"/><Relationship Id="rId11" Type="http://schemas.openxmlformats.org/officeDocument/2006/relationships/hyperlink" Target="https://www.insdevforum.org/wp-content/uploads/2020/08/How-technology-can-help-bridge-the-protection-gap-report-.pdf" TargetMode="External"/><Relationship Id="rId24" Type="http://schemas.openxmlformats.org/officeDocument/2006/relationships/hyperlink" Target="https://d.docs.live.net/e637cdf51dfafd67/www.insurance.ca.gov" TargetMode="External"/><Relationship Id="rId5" Type="http://schemas.openxmlformats.org/officeDocument/2006/relationships/hyperlink" Target="https://d.docs.live.net/e637cdf51dfafd67/www.swissre.com" TargetMode="External"/><Relationship Id="rId15" Type="http://schemas.openxmlformats.org/officeDocument/2006/relationships/hyperlink" Target="http://www.bankrate.com" TargetMode="External"/><Relationship Id="rId23" Type="http://schemas.openxmlformats.org/officeDocument/2006/relationships/hyperlink" Target="http://www.insurance.ca.gov" TargetMode="External"/><Relationship Id="rId28" Type="http://schemas.openxmlformats.org/officeDocument/2006/relationships/hyperlink" Target="https://piu.org.pl/wp-content/uploads/2024/03/WU%202023-04_01_Malinowska.pdf" TargetMode="External"/><Relationship Id="rId10" Type="http://schemas.openxmlformats.org/officeDocument/2006/relationships/hyperlink" Target="https://d.docs.live.net/e637cdf51dfafd67/www.insurance.ca.gov" TargetMode="External"/><Relationship Id="rId19" Type="http://schemas.openxmlformats.org/officeDocument/2006/relationships/hyperlink" Target="http://www.cfpnet.com" TargetMode="External"/><Relationship Id="rId4" Type="http://schemas.openxmlformats.org/officeDocument/2006/relationships/hyperlink" Target="file:///C:\Users\Dwyer\Downloads\www.covergenius.com" TargetMode="External"/><Relationship Id="rId9" Type="http://schemas.openxmlformats.org/officeDocument/2006/relationships/hyperlink" Target="https://www.swissre.com/institute/research/sigma-research/sigma-2025-01-natural-catastrophes-trend.html" TargetMode="External"/><Relationship Id="rId14" Type="http://schemas.openxmlformats.org/officeDocument/2006/relationships/hyperlink" Target="http://www.insurance.ca.gov/01-consumers/120-company/04-mrktshare/2023/" TargetMode="External"/><Relationship Id="rId22" Type="http://schemas.openxmlformats.org/officeDocument/2006/relationships/hyperlink" Target="http://www.insurance.ca.gov" TargetMode="External"/><Relationship Id="rId27" Type="http://schemas.openxmlformats.org/officeDocument/2006/relationships/hyperlink" Target="https://www.clydeco.com/en/news/2025/12/clyde-co-unveils-emerging-risks-for-insurers-in-20" TargetMode="External"/><Relationship Id="rId30" Type="http://schemas.openxmlformats.org/officeDocument/2006/relationships/hyperlink" Target="https://www.the-digital-insurer.com/blog/insurtech-impact-autonomous-vehicles-auto-insu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D8F8E-27F8-4B00-9772-6B611CA2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9385</Words>
  <Characters>53495</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Cordelia Dwyer</dc:creator>
  <cp:keywords/>
  <dc:description/>
  <cp:lastModifiedBy>M D</cp:lastModifiedBy>
  <cp:revision>2</cp:revision>
  <dcterms:created xsi:type="dcterms:W3CDTF">2026-04-08T07:52:00Z</dcterms:created>
  <dcterms:modified xsi:type="dcterms:W3CDTF">2026-04-08T07:52:00Z</dcterms:modified>
</cp:coreProperties>
</file>